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3F779" w14:textId="77777777" w:rsidR="007566CB" w:rsidRPr="00A27025" w:rsidRDefault="00616E86" w:rsidP="00F43096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A27025">
        <w:rPr>
          <w:rFonts w:ascii="Times New Roman" w:hAnsi="Times New Roman" w:cs="Times New Roman"/>
          <w:b/>
        </w:rPr>
        <w:t xml:space="preserve">ODWRÓCNA </w:t>
      </w:r>
      <w:r w:rsidR="00F43096" w:rsidRPr="00A27025">
        <w:rPr>
          <w:rFonts w:ascii="Times New Roman" w:hAnsi="Times New Roman" w:cs="Times New Roman"/>
          <w:b/>
        </w:rPr>
        <w:t>TABELA ZGODNOŚCI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919"/>
        <w:gridCol w:w="5371"/>
        <w:gridCol w:w="6291"/>
      </w:tblGrid>
      <w:tr w:rsidR="00F43096" w:rsidRPr="00A27025" w14:paraId="517BA7E3" w14:textId="77777777" w:rsidTr="00633663">
        <w:tc>
          <w:tcPr>
            <w:tcW w:w="2332" w:type="dxa"/>
            <w:gridSpan w:val="2"/>
            <w:shd w:val="pct10" w:color="auto" w:fill="auto"/>
          </w:tcPr>
          <w:p w14:paraId="1BD9AEC8" w14:textId="77777777" w:rsidR="00F43096" w:rsidRPr="00A27025" w:rsidRDefault="00F43096" w:rsidP="006336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025">
              <w:rPr>
                <w:rFonts w:ascii="Times New Roman" w:hAnsi="Times New Roman" w:cs="Times New Roman"/>
                <w:b/>
              </w:rPr>
              <w:t>TYTUŁ PROJKETU</w:t>
            </w:r>
          </w:p>
        </w:tc>
        <w:tc>
          <w:tcPr>
            <w:tcW w:w="11662" w:type="dxa"/>
            <w:gridSpan w:val="2"/>
          </w:tcPr>
          <w:p w14:paraId="0912EF9F" w14:textId="77777777" w:rsidR="00F43096" w:rsidRPr="00A27025" w:rsidRDefault="00A27025" w:rsidP="00F43096">
            <w:pPr>
              <w:rPr>
                <w:rFonts w:ascii="Times New Roman" w:hAnsi="Times New Roman" w:cs="Times New Roman"/>
                <w:b/>
              </w:rPr>
            </w:pPr>
            <w:r w:rsidRPr="00A27025">
              <w:rPr>
                <w:rFonts w:ascii="Times New Roman" w:hAnsi="Times New Roman" w:cs="Times New Roman"/>
                <w:b/>
              </w:rPr>
              <w:t>Ustawa o otwartych danych i ponownym wykorzystywaniu informacji sektora publicznego</w:t>
            </w:r>
            <w:r w:rsidRPr="00A27025">
              <w:rPr>
                <w:rStyle w:val="Odwoanieprzypisudolnego"/>
                <w:rFonts w:ascii="Times New Roman" w:hAnsi="Times New Roman" w:cs="Times New Roman"/>
                <w:b/>
              </w:rPr>
              <w:footnoteReference w:customMarkFollows="1" w:id="1"/>
              <w:t>1</w:t>
            </w:r>
          </w:p>
          <w:p w14:paraId="367F6CBF" w14:textId="77777777" w:rsidR="00A27025" w:rsidRPr="00A27025" w:rsidRDefault="00A27025" w:rsidP="00F4309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6E86" w:rsidRPr="00A27025" w14:paraId="04A7D95F" w14:textId="77777777" w:rsidTr="00AB2BE9">
        <w:tc>
          <w:tcPr>
            <w:tcW w:w="1413" w:type="dxa"/>
            <w:shd w:val="pct10" w:color="auto" w:fill="auto"/>
          </w:tcPr>
          <w:p w14:paraId="0FE49AC4" w14:textId="77777777" w:rsidR="00616E86" w:rsidRPr="00A27025" w:rsidRDefault="00616E86" w:rsidP="006336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025">
              <w:rPr>
                <w:rFonts w:ascii="Times New Roman" w:hAnsi="Times New Roman" w:cs="Times New Roman"/>
                <w:b/>
              </w:rPr>
              <w:t>JEDN. RED.</w:t>
            </w:r>
          </w:p>
        </w:tc>
        <w:tc>
          <w:tcPr>
            <w:tcW w:w="6290" w:type="dxa"/>
            <w:gridSpan w:val="2"/>
            <w:shd w:val="pct10" w:color="auto" w:fill="auto"/>
          </w:tcPr>
          <w:p w14:paraId="501208E0" w14:textId="77777777" w:rsidR="00616E86" w:rsidRPr="00A27025" w:rsidRDefault="00616E86" w:rsidP="00616E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025">
              <w:rPr>
                <w:rFonts w:ascii="Times New Roman" w:hAnsi="Times New Roman" w:cs="Times New Roman"/>
                <w:b/>
              </w:rPr>
              <w:t>TREŚĆ PRZEPISU/ÓW PROJEKTU</w:t>
            </w:r>
          </w:p>
        </w:tc>
        <w:tc>
          <w:tcPr>
            <w:tcW w:w="6291" w:type="dxa"/>
            <w:shd w:val="pct10" w:color="auto" w:fill="auto"/>
          </w:tcPr>
          <w:p w14:paraId="5EEB51A4" w14:textId="77777777" w:rsidR="00616E86" w:rsidRPr="00A27025" w:rsidRDefault="00616E86" w:rsidP="00616E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025">
              <w:rPr>
                <w:rFonts w:ascii="Times New Roman" w:hAnsi="Times New Roman" w:cs="Times New Roman"/>
                <w:b/>
              </w:rPr>
              <w:t>UZASADNIENIE WPROWADZENIA PRZEPISU/ÓW</w:t>
            </w:r>
          </w:p>
        </w:tc>
      </w:tr>
      <w:tr w:rsidR="00616E86" w:rsidRPr="00A27025" w14:paraId="71298BAD" w14:textId="77777777" w:rsidTr="00616E86">
        <w:tc>
          <w:tcPr>
            <w:tcW w:w="1413" w:type="dxa"/>
          </w:tcPr>
          <w:p w14:paraId="60B27E2F" w14:textId="2A5717A3" w:rsidR="00616E86" w:rsidRPr="00A27025" w:rsidRDefault="00A27025" w:rsidP="006F20FA">
            <w:pPr>
              <w:rPr>
                <w:rFonts w:ascii="Times New Roman" w:hAnsi="Times New Roman" w:cs="Times New Roman"/>
              </w:rPr>
            </w:pPr>
            <w:r w:rsidRPr="00A27025">
              <w:rPr>
                <w:rFonts w:ascii="Times New Roman" w:hAnsi="Times New Roman" w:cs="Times New Roman"/>
              </w:rPr>
              <w:t>Art. 2 pkt 5, 9</w:t>
            </w:r>
            <w:r w:rsidR="006F20F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11 i</w:t>
            </w:r>
            <w:r w:rsidRPr="00A27025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6290" w:type="dxa"/>
            <w:gridSpan w:val="2"/>
          </w:tcPr>
          <w:p w14:paraId="3A9FB28E" w14:textId="77777777" w:rsidR="00A27025" w:rsidRPr="00A27025" w:rsidRDefault="00A27025" w:rsidP="00A27025">
            <w:pPr>
              <w:pStyle w:val="ARTartustawynprozporzdzenia"/>
              <w:keepNext/>
              <w:spacing w:before="0" w:line="240" w:lineRule="auto"/>
              <w:jc w:val="left"/>
              <w:rPr>
                <w:sz w:val="22"/>
                <w:szCs w:val="22"/>
              </w:rPr>
            </w:pPr>
            <w:r w:rsidRPr="004B4F59">
              <w:rPr>
                <w:rStyle w:val="Ppogrubienie"/>
                <w:b w:val="0"/>
                <w:sz w:val="22"/>
                <w:szCs w:val="22"/>
              </w:rPr>
              <w:t>Art. 2.</w:t>
            </w:r>
            <w:r w:rsidRPr="00A27025">
              <w:rPr>
                <w:sz w:val="22"/>
                <w:szCs w:val="22"/>
              </w:rPr>
              <w:t> Użyte w ustawie określenia oznaczają:</w:t>
            </w:r>
          </w:p>
          <w:p w14:paraId="1B91D77E" w14:textId="77777777" w:rsidR="00A27025" w:rsidRPr="00A27025" w:rsidRDefault="00A27025" w:rsidP="00A27025">
            <w:pPr>
              <w:pStyle w:val="ARTartustawynprozporzdzenia"/>
              <w:keepNext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A27025">
              <w:rPr>
                <w:sz w:val="22"/>
                <w:szCs w:val="22"/>
              </w:rPr>
              <w:t>(…)</w:t>
            </w:r>
          </w:p>
          <w:p w14:paraId="4504B173" w14:textId="2F87DE35" w:rsidR="00A27025" w:rsidRPr="004B4F59" w:rsidRDefault="00A27025" w:rsidP="004B4F59">
            <w:pPr>
              <w:pStyle w:val="PKTpunkt"/>
              <w:spacing w:line="240" w:lineRule="auto"/>
            </w:pPr>
            <w:r w:rsidRPr="00A27025">
              <w:rPr>
                <w:sz w:val="22"/>
                <w:szCs w:val="22"/>
              </w:rPr>
              <w:t>5)</w:t>
            </w:r>
            <w:r w:rsidRPr="00A27025">
              <w:rPr>
                <w:sz w:val="22"/>
                <w:szCs w:val="22"/>
              </w:rPr>
              <w:tab/>
            </w:r>
            <w:r w:rsidR="004B4F59" w:rsidRPr="004B4F59">
              <w:rPr>
                <w:rFonts w:ascii="Times New Roman" w:hAnsi="Times New Roman" w:cs="Times New Roman"/>
                <w:sz w:val="22"/>
                <w:szCs w:val="22"/>
              </w:rPr>
              <w:t>dane prywatne – każdą treść lub jej część, niezależnie od sposobu utrwalenia, w szczególności w postaci papierowej, elektronicznej, dźwiękowej, wizualnej lub audiowizualnej, będącą w posiadaniu podmiotu innego niż podmiot zobowiązany i przez niego wytworzoną, z wyjątkiem danych osobowych;</w:t>
            </w:r>
          </w:p>
          <w:p w14:paraId="601856DA" w14:textId="77777777" w:rsidR="00A27025" w:rsidRPr="00A27025" w:rsidRDefault="00A27025" w:rsidP="00A27025">
            <w:pPr>
              <w:pStyle w:val="PKTpunkt"/>
              <w:spacing w:line="240" w:lineRule="auto"/>
              <w:jc w:val="left"/>
              <w:rPr>
                <w:sz w:val="22"/>
                <w:szCs w:val="22"/>
              </w:rPr>
            </w:pPr>
            <w:r w:rsidRPr="00A27025">
              <w:rPr>
                <w:sz w:val="22"/>
                <w:szCs w:val="22"/>
              </w:rPr>
              <w:t>(…)</w:t>
            </w:r>
          </w:p>
          <w:p w14:paraId="20C8CD60" w14:textId="0A6475D1" w:rsidR="00A27025" w:rsidRPr="004B4F59" w:rsidRDefault="00A27025" w:rsidP="004B4F59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27025">
              <w:rPr>
                <w:sz w:val="22"/>
                <w:szCs w:val="22"/>
              </w:rPr>
              <w:t>9)</w:t>
            </w:r>
            <w:r w:rsidRPr="00A27025">
              <w:rPr>
                <w:sz w:val="22"/>
                <w:szCs w:val="22"/>
              </w:rPr>
              <w:tab/>
            </w:r>
            <w:r w:rsidR="004B4F59" w:rsidRPr="004B4F59">
              <w:rPr>
                <w:rFonts w:ascii="Times New Roman" w:hAnsi="Times New Roman" w:cs="Times New Roman"/>
                <w:sz w:val="22"/>
                <w:szCs w:val="22"/>
              </w:rPr>
              <w:t>interfejs programistyczny aplikacji – zbiór technicznych funkcji umożliwiających połączenie i wzajemną wymianę danych lub metadanych pomiędzy programami komputerowymi lub systemami teleinformatycznymi;</w:t>
            </w:r>
          </w:p>
          <w:p w14:paraId="06B6F12C" w14:textId="4A9EF18E" w:rsidR="00616E86" w:rsidRPr="00566159" w:rsidRDefault="00A27025" w:rsidP="009A0997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27025">
              <w:rPr>
                <w:sz w:val="22"/>
                <w:szCs w:val="22"/>
              </w:rPr>
              <w:t>10)</w:t>
            </w:r>
            <w:r w:rsidRPr="00A27025">
              <w:rPr>
                <w:sz w:val="22"/>
                <w:szCs w:val="22"/>
              </w:rPr>
              <w:tab/>
            </w:r>
            <w:r w:rsidR="004B4F59" w:rsidRPr="004B4F59">
              <w:rPr>
                <w:rFonts w:ascii="Times New Roman" w:hAnsi="Times New Roman" w:cs="Times New Roman"/>
                <w:sz w:val="22"/>
                <w:szCs w:val="22"/>
              </w:rPr>
              <w:t>metadane – ustrukturyzowane informacje opisujące, tłumaczące, lokalizujące i ułatwiające odnalezienie, wykorzystanie lub zarządzanie informacjami, na które składają się w szczególności elementy, o których mowa w przepisach wydanych na podstawie art. 37 ust. 6;</w:t>
            </w:r>
          </w:p>
        </w:tc>
        <w:tc>
          <w:tcPr>
            <w:tcW w:w="6291" w:type="dxa"/>
          </w:tcPr>
          <w:p w14:paraId="334ECD5F" w14:textId="16FF28A2" w:rsidR="00616E86" w:rsidRPr="00CB2467" w:rsidRDefault="00CB2467" w:rsidP="009A0997">
            <w:pPr>
              <w:jc w:val="both"/>
              <w:rPr>
                <w:rFonts w:ascii="Times New Roman" w:hAnsi="Times New Roman" w:cs="Times New Roman"/>
              </w:rPr>
            </w:pPr>
            <w:r w:rsidRPr="00CB2467">
              <w:rPr>
                <w:rFonts w:ascii="Times New Roman" w:hAnsi="Times New Roman" w:cs="Times New Roman"/>
              </w:rPr>
              <w:t>W art. 2 projektu ustawy wprowadzono słowniczek ustawo</w:t>
            </w:r>
            <w:r w:rsidR="004B4F59">
              <w:rPr>
                <w:rFonts w:ascii="Times New Roman" w:hAnsi="Times New Roman" w:cs="Times New Roman"/>
              </w:rPr>
              <w:t>wy, w </w:t>
            </w:r>
            <w:r w:rsidRPr="00CB2467">
              <w:rPr>
                <w:rFonts w:ascii="Times New Roman" w:hAnsi="Times New Roman" w:cs="Times New Roman"/>
              </w:rPr>
              <w:t>którym zawarte zostały definicje sformułowane już na gruncie ustawy z</w:t>
            </w:r>
            <w:r w:rsidR="004B6A39">
              <w:rPr>
                <w:rFonts w:ascii="Times New Roman" w:hAnsi="Times New Roman" w:cs="Times New Roman"/>
              </w:rPr>
              <w:t xml:space="preserve"> dnia 2</w:t>
            </w:r>
            <w:r w:rsidR="004B4F59">
              <w:rPr>
                <w:rFonts w:ascii="Times New Roman" w:hAnsi="Times New Roman" w:cs="Times New Roman"/>
              </w:rPr>
              <w:t>5</w:t>
            </w:r>
            <w:r w:rsidR="004B6A39">
              <w:rPr>
                <w:rFonts w:ascii="Times New Roman" w:hAnsi="Times New Roman" w:cs="Times New Roman"/>
              </w:rPr>
              <w:t xml:space="preserve"> lutego</w:t>
            </w:r>
            <w:r w:rsidRPr="00CB2467">
              <w:rPr>
                <w:rFonts w:ascii="Times New Roman" w:hAnsi="Times New Roman" w:cs="Times New Roman"/>
              </w:rPr>
              <w:t xml:space="preserve"> 2016 r. </w:t>
            </w:r>
            <w:r w:rsidR="004B6A39">
              <w:rPr>
                <w:rFonts w:ascii="Times New Roman" w:hAnsi="Times New Roman" w:cs="Times New Roman"/>
              </w:rPr>
              <w:t xml:space="preserve">o ponownym wykorzystywaniu informacji sektora publicznego (Dz. U. z 2019 r. poz. 1446) </w:t>
            </w:r>
            <w:r w:rsidRPr="00CB2467">
              <w:rPr>
                <w:rFonts w:ascii="Times New Roman" w:hAnsi="Times New Roman" w:cs="Times New Roman"/>
              </w:rPr>
              <w:t>oraz nowozdefiniowane pojęcia. Celem wprowadzenia do projektu ustawy słowniczka jest usystematyzowanie struktury pojęciowej regulacji ponownego wykorzystywania, uzupełnienia jej o nowe definicje oraz dostosowania niektórych z dotychczasowych pojęć do przepisów dyrektywy 2019/1024/UE.</w:t>
            </w:r>
            <w:r>
              <w:rPr>
                <w:rFonts w:ascii="Times New Roman" w:hAnsi="Times New Roman" w:cs="Times New Roman"/>
              </w:rPr>
              <w:t xml:space="preserve"> Większość zdefiniowanych pojęć stanowi implementację przepisów dyrektywy</w:t>
            </w:r>
            <w:r w:rsidR="004B6A39">
              <w:rPr>
                <w:rFonts w:ascii="Times New Roman" w:hAnsi="Times New Roman" w:cs="Times New Roman"/>
              </w:rPr>
              <w:t xml:space="preserve"> </w:t>
            </w:r>
            <w:r w:rsidR="00020E22">
              <w:rPr>
                <w:rFonts w:ascii="Times New Roman" w:hAnsi="Times New Roman" w:cs="Times New Roman"/>
              </w:rPr>
              <w:t xml:space="preserve">2019/1024. </w:t>
            </w:r>
            <w:r>
              <w:rPr>
                <w:rFonts w:ascii="Times New Roman" w:hAnsi="Times New Roman" w:cs="Times New Roman"/>
              </w:rPr>
              <w:t>Definicje</w:t>
            </w:r>
            <w:r w:rsidR="00020E2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danych prywatnych, interfejsu programi</w:t>
            </w:r>
            <w:r w:rsidR="004B4F59">
              <w:rPr>
                <w:rFonts w:ascii="Times New Roman" w:hAnsi="Times New Roman" w:cs="Times New Roman"/>
              </w:rPr>
              <w:t>stycz</w:t>
            </w:r>
            <w:r w:rsidR="009A0997">
              <w:rPr>
                <w:rFonts w:ascii="Times New Roman" w:hAnsi="Times New Roman" w:cs="Times New Roman"/>
              </w:rPr>
              <w:t>nego aplikacji oraz</w:t>
            </w:r>
            <w:r w:rsidR="004B4F59">
              <w:rPr>
                <w:rFonts w:ascii="Times New Roman" w:hAnsi="Times New Roman" w:cs="Times New Roman"/>
              </w:rPr>
              <w:t xml:space="preserve"> metadanych</w:t>
            </w:r>
            <w:r w:rsidR="009A09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zostały wprowadzone do sł</w:t>
            </w:r>
            <w:r w:rsidR="009A0997">
              <w:rPr>
                <w:rFonts w:ascii="Times New Roman" w:hAnsi="Times New Roman" w:cs="Times New Roman"/>
              </w:rPr>
              <w:t>owniczka ustawowego w związku z </w:t>
            </w:r>
            <w:r>
              <w:rPr>
                <w:rFonts w:ascii="Times New Roman" w:hAnsi="Times New Roman" w:cs="Times New Roman"/>
              </w:rPr>
              <w:t>potrzebą doprecyzowania wyko</w:t>
            </w:r>
            <w:r w:rsidR="004B4F59">
              <w:rPr>
                <w:rFonts w:ascii="Times New Roman" w:hAnsi="Times New Roman" w:cs="Times New Roman"/>
              </w:rPr>
              <w:t>rzystywanych w </w:t>
            </w:r>
            <w:r>
              <w:rPr>
                <w:rFonts w:ascii="Times New Roman" w:hAnsi="Times New Roman" w:cs="Times New Roman"/>
              </w:rPr>
              <w:t xml:space="preserve">przepisach projektu ustawy pojęć. </w:t>
            </w:r>
          </w:p>
        </w:tc>
      </w:tr>
      <w:tr w:rsidR="008851CE" w:rsidRPr="00A27025" w14:paraId="0C27C149" w14:textId="77777777" w:rsidTr="00616E86">
        <w:tc>
          <w:tcPr>
            <w:tcW w:w="1413" w:type="dxa"/>
          </w:tcPr>
          <w:p w14:paraId="0D551DF8" w14:textId="33E6BBA1" w:rsidR="008851CE" w:rsidRPr="00A27025" w:rsidRDefault="008851CE" w:rsidP="005661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Art. 7 ust. 3 </w:t>
            </w:r>
          </w:p>
        </w:tc>
        <w:tc>
          <w:tcPr>
            <w:tcW w:w="6290" w:type="dxa"/>
            <w:gridSpan w:val="2"/>
          </w:tcPr>
          <w:p w14:paraId="63FC3BD8" w14:textId="45C45D95" w:rsidR="008851CE" w:rsidRDefault="008851CE" w:rsidP="008851CE">
            <w:pPr>
              <w:pStyle w:val="ARTartustawynprozporzdzenia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041C2"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Art. 7.</w:t>
            </w:r>
            <w:r w:rsidRPr="001041C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(…) </w:t>
            </w:r>
          </w:p>
          <w:p w14:paraId="6E6AF0BE" w14:textId="77777777" w:rsidR="00C7003E" w:rsidRPr="00C7003E" w:rsidRDefault="00C7003E" w:rsidP="00C7003E">
            <w:pPr>
              <w:pStyle w:val="USTustnpkodeksu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7003E">
              <w:rPr>
                <w:rFonts w:ascii="Times New Roman" w:hAnsi="Times New Roman" w:cs="Times New Roman"/>
                <w:sz w:val="22"/>
                <w:szCs w:val="22"/>
              </w:rPr>
              <w:t xml:space="preserve">3. Do przetwarzania danych osobowych w celu udostępniania lub przekazywania informacji sektora publicznego w celu ponownego wykorzystywania przepisu art. 13 ust. 3 rozporządzenia Parlamentu Europejskiego i Rady (UE) 2016/679 z dnia 27 kwietnia 2016 r. w sprawie ochrony osób fizycznych w związku z przetwarzaniem danych osobowych i w sprawie swobodnego przepływu takich danych oraz uchylenia dyrektywy 95/46/WE (ogólne rozporządzenie </w:t>
            </w:r>
            <w:r w:rsidRPr="00C7003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o ochronie danych) (Dz. Urz. UE L 119 z 04.05.2016, str. 1, z późn. zm.</w:t>
            </w:r>
            <w:r w:rsidRPr="00C7003E">
              <w:rPr>
                <w:rStyle w:val="IGindeksgrny"/>
                <w:rFonts w:ascii="Times New Roman" w:hAnsi="Times New Roman" w:cs="Times New Roman"/>
                <w:sz w:val="22"/>
                <w:szCs w:val="22"/>
              </w:rPr>
              <w:footnoteReference w:id="2"/>
            </w:r>
            <w:r w:rsidRPr="00C7003E">
              <w:rPr>
                <w:rStyle w:val="IGindeksgrny"/>
                <w:rFonts w:ascii="Times New Roman" w:hAnsi="Times New Roman" w:cs="Times New Roman"/>
                <w:sz w:val="22"/>
                <w:szCs w:val="22"/>
              </w:rPr>
              <w:t>)</w:t>
            </w:r>
            <w:r w:rsidRPr="00C7003E">
              <w:rPr>
                <w:rFonts w:ascii="Times New Roman" w:hAnsi="Times New Roman" w:cs="Times New Roman"/>
                <w:sz w:val="22"/>
                <w:szCs w:val="22"/>
              </w:rPr>
              <w:t>), zwanego dalej „rozporządzeniem 2016/679”, nie stosuje się.</w:t>
            </w:r>
          </w:p>
          <w:p w14:paraId="156B5D22" w14:textId="5B640B4B" w:rsidR="008851CE" w:rsidRPr="00A27025" w:rsidRDefault="008851CE" w:rsidP="00566159">
            <w:pPr>
              <w:pStyle w:val="USTustnpkodeksu"/>
              <w:spacing w:line="240" w:lineRule="auto"/>
              <w:jc w:val="left"/>
              <w:rPr>
                <w:rStyle w:val="Ppogrubienie"/>
                <w:sz w:val="22"/>
                <w:szCs w:val="22"/>
              </w:rPr>
            </w:pPr>
          </w:p>
        </w:tc>
        <w:tc>
          <w:tcPr>
            <w:tcW w:w="6291" w:type="dxa"/>
          </w:tcPr>
          <w:p w14:paraId="17A2316E" w14:textId="495127C7" w:rsidR="00C7003E" w:rsidRDefault="00C7003E" w:rsidP="009F6A9B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A</w:t>
            </w:r>
            <w:r w:rsidR="008851CE" w:rsidRPr="008851CE">
              <w:rPr>
                <w:rFonts w:ascii="Times New Roman" w:hAnsi="Times New Roman" w:cs="Times New Roman"/>
              </w:rPr>
              <w:t xml:space="preserve">rt. 7 ust. 3 </w:t>
            </w:r>
            <w:r w:rsidR="008851CE">
              <w:rPr>
                <w:rFonts w:ascii="Times New Roman" w:hAnsi="Times New Roman" w:cs="Times New Roman"/>
              </w:rPr>
              <w:t xml:space="preserve">projektu ustawy </w:t>
            </w:r>
            <w:r w:rsidR="0020590B">
              <w:rPr>
                <w:rFonts w:ascii="Times New Roman" w:eastAsia="Times New Roman" w:hAnsi="Times New Roman" w:cs="Times New Roman"/>
                <w:szCs w:val="24"/>
              </w:rPr>
              <w:t>dotycz</w:t>
            </w:r>
            <w:r w:rsidR="00566159">
              <w:rPr>
                <w:rFonts w:ascii="Times New Roman" w:eastAsia="Times New Roman" w:hAnsi="Times New Roman" w:cs="Times New Roman"/>
                <w:szCs w:val="24"/>
              </w:rPr>
              <w:t>y</w:t>
            </w:r>
            <w:r w:rsidR="0020590B">
              <w:rPr>
                <w:rFonts w:ascii="Times New Roman" w:eastAsia="Times New Roman" w:hAnsi="Times New Roman" w:cs="Times New Roman"/>
                <w:szCs w:val="24"/>
              </w:rPr>
              <w:t xml:space="preserve"> obowiązków informacyjnych</w:t>
            </w:r>
            <w:r w:rsidR="008851CE" w:rsidRPr="008851CE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="0020590B">
              <w:rPr>
                <w:rFonts w:ascii="Times New Roman" w:eastAsia="Times New Roman" w:hAnsi="Times New Roman" w:cs="Times New Roman"/>
                <w:szCs w:val="24"/>
              </w:rPr>
              <w:t xml:space="preserve">wynikających 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z art. 13 ust. 3 </w:t>
            </w:r>
            <w:r w:rsidR="008851CE" w:rsidRPr="008851CE">
              <w:rPr>
                <w:rFonts w:ascii="Times New Roman" w:eastAsia="Times New Roman" w:hAnsi="Times New Roman" w:cs="Times New Roman"/>
                <w:szCs w:val="24"/>
              </w:rPr>
              <w:t>rozporządz</w:t>
            </w:r>
            <w:r w:rsidR="00B35497">
              <w:rPr>
                <w:rFonts w:ascii="Times New Roman" w:eastAsia="Times New Roman" w:hAnsi="Times New Roman" w:cs="Times New Roman"/>
                <w:szCs w:val="24"/>
              </w:rPr>
              <w:t>enia Parlamentu Europejskiego i </w:t>
            </w:r>
            <w:r w:rsidR="008851CE" w:rsidRPr="008851CE">
              <w:rPr>
                <w:rFonts w:ascii="Times New Roman" w:eastAsia="Times New Roman" w:hAnsi="Times New Roman" w:cs="Times New Roman"/>
                <w:szCs w:val="24"/>
              </w:rPr>
              <w:t>Rady (UE) 2016/679 z dnia 27 kwietnia 2016 r. w sprawie ochrony osób fizycznych w związku z przetwarz</w:t>
            </w:r>
            <w:r w:rsidR="00B35497">
              <w:rPr>
                <w:rFonts w:ascii="Times New Roman" w:eastAsia="Times New Roman" w:hAnsi="Times New Roman" w:cs="Times New Roman"/>
                <w:szCs w:val="24"/>
              </w:rPr>
              <w:t>aniem danych osobowych i w </w:t>
            </w:r>
            <w:r w:rsidR="008851CE" w:rsidRPr="008851CE">
              <w:rPr>
                <w:rFonts w:ascii="Times New Roman" w:eastAsia="Times New Roman" w:hAnsi="Times New Roman" w:cs="Times New Roman"/>
                <w:szCs w:val="24"/>
              </w:rPr>
              <w:t>sprawie swobodnego przepływu takich danych oraz uchylenia dyrektywy 95/46/WE (ogólne rozporządzenie o </w:t>
            </w:r>
            <w:r w:rsidR="008851CE">
              <w:rPr>
                <w:rFonts w:ascii="Times New Roman" w:eastAsia="Times New Roman" w:hAnsi="Times New Roman" w:cs="Times New Roman"/>
                <w:szCs w:val="24"/>
              </w:rPr>
              <w:t>ochronie danych).</w:t>
            </w:r>
            <w:r w:rsidR="00566159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C7003E">
              <w:rPr>
                <w:rFonts w:ascii="Times New Roman" w:eastAsia="Times New Roman" w:hAnsi="Times New Roman" w:cs="Times New Roman"/>
                <w:szCs w:val="24"/>
              </w:rPr>
              <w:t xml:space="preserve">Przepis ten obowiązywał już na gruncie ustawy </w:t>
            </w:r>
            <w:r w:rsidRPr="00C7003E">
              <w:rPr>
                <w:rFonts w:ascii="Times New Roman" w:eastAsia="Times New Roman" w:hAnsi="Times New Roman" w:cs="Times New Roman"/>
                <w:szCs w:val="24"/>
              </w:rPr>
              <w:lastRenderedPageBreak/>
              <w:t>z dnia 25 lutego 2016 r. o ponownym wykorzystywaniu informacji sektora publicznego.</w:t>
            </w:r>
          </w:p>
          <w:p w14:paraId="52E09101" w14:textId="6DEEDC7B" w:rsidR="008851CE" w:rsidRPr="00C7003E" w:rsidRDefault="00C7003E" w:rsidP="009F6A9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D</w:t>
            </w:r>
            <w:r w:rsidRPr="00C7003E">
              <w:rPr>
                <w:rFonts w:ascii="Times New Roman" w:hAnsi="Times New Roman" w:cs="Times New Roman"/>
                <w:bCs/>
              </w:rPr>
              <w:t>ane osobowe mogą zostać przekazane lub udostępniane do ponownego wykorzystywania, o ile istnieje podstawa prawna wymieniona w art. 6 ust. 1 RODO. Należy zauważyć jednocześnie, że samo działanie na danych osobowych objętych wnioskiem, które ostatecznie nie stanowić będzie samego przekazania lub udostępniania danych do ponownego wykorzystywania, np. polegające w szczególności na anonimizacji danych (depersonalizacji informacji sektora publicznego w części w jakiej zawiera dane osobowe) i w konsekwencji przekazanie do ponownego wykorzystywania jedynie zanonimizowanej informacji sektora publicznego, może zostać uznane za operację przetwarzania danych osobowych. Wówczas w świetle art. 13 ust. 3 RODO pojawia się wątpliwość, czy podmiot zobowiązany przetwarzający dane osobowe w ramach realizacji ustawowo nałożonych na niego obowiązków (realizacja przepisów o ponownym wykorzystywaniu) będzie zobligowany wypełnić przedmiotowy obowiązek informacyjny. Po drugie pojawia się zagadnienie praktycznych możliwości realizacji art. 13 ust. 3 RODO przez podmiot zobowiązany, w szczególności, gdy przedmiotem wniosku o ponowne wykorzystywanie nie są pojedyncze dane, a np. baza danych i podmiot zobowiązany nie dysponuje informacjami pozwalającymi na efektywną realizację obowiązku informacyjnego, nawet w sytuacji, gdy ostatecznym sposobem załatwienia wniosku nie jest przekazanie danych osobowych.</w:t>
            </w:r>
          </w:p>
        </w:tc>
      </w:tr>
      <w:tr w:rsidR="00CB2467" w:rsidRPr="00A27025" w14:paraId="2BAED559" w14:textId="77777777" w:rsidTr="00616E86">
        <w:tc>
          <w:tcPr>
            <w:tcW w:w="1413" w:type="dxa"/>
          </w:tcPr>
          <w:p w14:paraId="77019F34" w14:textId="4CC2B82D" w:rsidR="00CB2467" w:rsidRPr="00BB33A1" w:rsidRDefault="00CB2467" w:rsidP="00AB2BE9">
            <w:pPr>
              <w:rPr>
                <w:rFonts w:ascii="Times New Roman" w:hAnsi="Times New Roman" w:cs="Times New Roman"/>
                <w:color w:val="FF0000"/>
              </w:rPr>
            </w:pPr>
            <w:r w:rsidRPr="00CB2467">
              <w:rPr>
                <w:rFonts w:ascii="Times New Roman" w:hAnsi="Times New Roman" w:cs="Times New Roman"/>
              </w:rPr>
              <w:lastRenderedPageBreak/>
              <w:t>Art. 13</w:t>
            </w:r>
            <w:r w:rsidR="00DE20B3">
              <w:rPr>
                <w:rFonts w:ascii="Times New Roman" w:hAnsi="Times New Roman" w:cs="Times New Roman"/>
              </w:rPr>
              <w:t xml:space="preserve"> ust. 1</w:t>
            </w:r>
          </w:p>
        </w:tc>
        <w:tc>
          <w:tcPr>
            <w:tcW w:w="6290" w:type="dxa"/>
            <w:gridSpan w:val="2"/>
          </w:tcPr>
          <w:p w14:paraId="6C0FB355" w14:textId="77777777" w:rsidR="004D25B7" w:rsidRPr="004D25B7" w:rsidRDefault="004D25B7" w:rsidP="004D25B7">
            <w:pPr>
              <w:pStyle w:val="ARTartustawynprozporzdzenia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25B7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13.</w:t>
            </w:r>
            <w:r w:rsidRPr="004D25B7">
              <w:rPr>
                <w:rFonts w:ascii="Times New Roman" w:hAnsi="Times New Roman" w:cs="Times New Roman"/>
                <w:sz w:val="22"/>
                <w:szCs w:val="22"/>
              </w:rPr>
              <w:t> 1. Podmiot zobowiązany zapewnia zgodność z obowiązującymi przepisami, dostępność, poprawność, aktualność, kompletność i jakość informacji sektora publicznego, które udostępnia lub przekazuje w celu ponownego wykorzystywania.</w:t>
            </w:r>
          </w:p>
          <w:p w14:paraId="51FEEFDB" w14:textId="77777777" w:rsidR="00CB2467" w:rsidRPr="00BB33A1" w:rsidRDefault="00CB2467" w:rsidP="004D25B7">
            <w:pPr>
              <w:pStyle w:val="ARTartustawynprozporzdzenia"/>
              <w:spacing w:before="0" w:line="240" w:lineRule="auto"/>
              <w:jc w:val="left"/>
              <w:rPr>
                <w:rStyle w:val="Ppogrubienie"/>
                <w:color w:val="FF0000"/>
                <w:sz w:val="22"/>
                <w:szCs w:val="22"/>
              </w:rPr>
            </w:pPr>
          </w:p>
        </w:tc>
        <w:tc>
          <w:tcPr>
            <w:tcW w:w="6291" w:type="dxa"/>
          </w:tcPr>
          <w:p w14:paraId="3C4484FE" w14:textId="19863281" w:rsidR="00CB2467" w:rsidRPr="0055455F" w:rsidRDefault="004D5785" w:rsidP="004D5785">
            <w:pPr>
              <w:jc w:val="both"/>
              <w:rPr>
                <w:rFonts w:ascii="Times New Roman" w:hAnsi="Times New Roman" w:cs="Times New Roman"/>
              </w:rPr>
            </w:pPr>
            <w:r w:rsidRPr="004D5785">
              <w:rPr>
                <w:rFonts w:ascii="Times New Roman" w:hAnsi="Times New Roman" w:cs="Times New Roman"/>
              </w:rPr>
              <w:t xml:space="preserve">Zgodnie z art. 13 ust. 1 projektu ustawy podmiot zobowiązany zapewnia zgodność z obowiązującymi przepisami, dostępności, poprawności, aktualności, kompletności oraz jakości informacji sektora publicznego, które udostępnia lub przekazuje w celu ponownego wykorzystywania. </w:t>
            </w:r>
            <w:r>
              <w:rPr>
                <w:rFonts w:ascii="Times New Roman" w:hAnsi="Times New Roman" w:cs="Times New Roman"/>
              </w:rPr>
              <w:t xml:space="preserve">Przedmiotowa zasada </w:t>
            </w:r>
            <w:r w:rsidR="0055455F" w:rsidRPr="0055455F">
              <w:rPr>
                <w:rFonts w:ascii="Times New Roman" w:hAnsi="Times New Roman" w:cs="Times New Roman"/>
              </w:rPr>
              <w:t>została  dodana do katalogu zasad udostępniania i przekazywania informacji sektora publicznego sformułowanego na gruncie ustawy z 2016 r.</w:t>
            </w:r>
          </w:p>
        </w:tc>
      </w:tr>
      <w:tr w:rsidR="003C3682" w:rsidRPr="00A27025" w14:paraId="4089FD5B" w14:textId="77777777" w:rsidTr="00616E86">
        <w:tc>
          <w:tcPr>
            <w:tcW w:w="1413" w:type="dxa"/>
          </w:tcPr>
          <w:p w14:paraId="6D3B7F56" w14:textId="0AF29632" w:rsidR="003C3682" w:rsidRPr="00D175B2" w:rsidRDefault="003C3682" w:rsidP="003C3682">
            <w:pPr>
              <w:rPr>
                <w:rFonts w:ascii="Times New Roman" w:hAnsi="Times New Roman" w:cs="Times New Roman"/>
              </w:rPr>
            </w:pPr>
            <w:r w:rsidRPr="00D175B2">
              <w:rPr>
                <w:rFonts w:ascii="Times New Roman" w:hAnsi="Times New Roman" w:cs="Times New Roman"/>
              </w:rPr>
              <w:lastRenderedPageBreak/>
              <w:t xml:space="preserve">Art. </w:t>
            </w:r>
            <w:r>
              <w:rPr>
                <w:rFonts w:ascii="Times New Roman" w:hAnsi="Times New Roman" w:cs="Times New Roman"/>
              </w:rPr>
              <w:t>31</w:t>
            </w:r>
            <w:r w:rsidRPr="00D175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90" w:type="dxa"/>
            <w:gridSpan w:val="2"/>
          </w:tcPr>
          <w:p w14:paraId="0B5890B1" w14:textId="77777777" w:rsidR="003C3682" w:rsidRPr="003C3682" w:rsidRDefault="003C3682" w:rsidP="003C3682">
            <w:pPr>
              <w:pStyle w:val="ARTartustawynprozporzdzenia"/>
              <w:keepNext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31</w:t>
            </w:r>
            <w:r w:rsidRPr="003C3682"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.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 1. W celu zwiększenia ilości oraz poprawy jakości informacji sektora publicznego i danych prywatnych oraz metadanych opisujących ich strukturę udostępnianych na portalu danych, minister właściwy do spraw informatyzacji opracowuje Program otwierania danych, zwany dalej „Programem” uwzględniając w szczególności:</w:t>
            </w:r>
          </w:p>
          <w:p w14:paraId="5FB380EF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aktualny stan udostępniania otwartych danych;</w:t>
            </w:r>
          </w:p>
          <w:p w14:paraId="0466383B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obowiązujący stan prawny;</w:t>
            </w:r>
          </w:p>
          <w:p w14:paraId="6087D605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kierunki rozwoju w zakresie otwartości danych;</w:t>
            </w:r>
          </w:p>
          <w:p w14:paraId="562A6C8F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4)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wyniki przeglądu prowadzonej polityki otwartych danych;</w:t>
            </w:r>
          </w:p>
          <w:p w14:paraId="3493959F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5)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możliwości finansowania projektowanych rozwiązań;</w:t>
            </w:r>
          </w:p>
          <w:p w14:paraId="1CDFCF47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6)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potrzebę wsparcia nowoczesnych technologii wykorzystujących otwarte dane;</w:t>
            </w:r>
          </w:p>
          <w:p w14:paraId="511F9A74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7)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potrzebę współpracy z interesariuszami otwartych danych.</w:t>
            </w:r>
          </w:p>
          <w:p w14:paraId="44752ECE" w14:textId="77777777" w:rsidR="003C3682" w:rsidRPr="003C3682" w:rsidRDefault="003C3682" w:rsidP="003C3682">
            <w:pPr>
              <w:pStyle w:val="USTustnpkodeksu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2. Program ustalany jest na okres siedmioletni, z możliwością wprowadzenia zmian w okresie jego obowiązywania.</w:t>
            </w:r>
          </w:p>
          <w:p w14:paraId="5E91666E" w14:textId="77777777" w:rsidR="003C3682" w:rsidRPr="003C3682" w:rsidRDefault="003C3682" w:rsidP="003C3682">
            <w:pPr>
              <w:pStyle w:val="USTustnpkodeksu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3. Rada Ministrów, na wniosek ministra właściwego do spraw informatyzacji, przyjmuje Program w drodze uchwały.</w:t>
            </w:r>
          </w:p>
          <w:p w14:paraId="0B1382C0" w14:textId="77777777" w:rsidR="003C3682" w:rsidRPr="003C3682" w:rsidRDefault="003C3682" w:rsidP="003C3682">
            <w:pPr>
              <w:pStyle w:val="USTustnpkodeksu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4. Program realizują członkowie Rady Ministrów oraz Prezes Głównego Urzędu Statystycznego, zwani dalej Realizatorami Programu.</w:t>
            </w:r>
          </w:p>
          <w:p w14:paraId="0B80086B" w14:textId="59E16874" w:rsidR="003C3682" w:rsidRPr="003C3682" w:rsidRDefault="003C3682" w:rsidP="003C3682">
            <w:pPr>
              <w:pStyle w:val="USTustnpkodeksu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 xml:space="preserve">5. Program może być realizowany przez inne niż wymienione w ust. 4 podmioty.    </w:t>
            </w:r>
          </w:p>
        </w:tc>
        <w:tc>
          <w:tcPr>
            <w:tcW w:w="6291" w:type="dxa"/>
            <w:vMerge w:val="restart"/>
          </w:tcPr>
          <w:p w14:paraId="13118D4B" w14:textId="77777777" w:rsidR="003C3682" w:rsidRDefault="003C3682" w:rsidP="003C3682">
            <w:pPr>
              <w:jc w:val="both"/>
              <w:rPr>
                <w:rFonts w:ascii="Times New Roman" w:hAnsi="Times New Roman" w:cs="Times New Roman"/>
              </w:rPr>
            </w:pPr>
            <w:r w:rsidRPr="008E6957">
              <w:rPr>
                <w:rFonts w:ascii="Times New Roman" w:hAnsi="Times New Roman" w:cs="Times New Roman"/>
              </w:rPr>
              <w:t xml:space="preserve">Rozdział </w:t>
            </w:r>
            <w:r>
              <w:rPr>
                <w:rFonts w:ascii="Times New Roman" w:hAnsi="Times New Roman" w:cs="Times New Roman"/>
              </w:rPr>
              <w:t xml:space="preserve">6 projektu ustawy „Program otwierania danych”, w którym znajduje się art. 31 </w:t>
            </w:r>
            <w:r w:rsidRPr="008E6957">
              <w:rPr>
                <w:rFonts w:ascii="Times New Roman" w:hAnsi="Times New Roman" w:cs="Times New Roman"/>
              </w:rPr>
              <w:t xml:space="preserve">zakłada przeniesienie do </w:t>
            </w:r>
            <w:r>
              <w:rPr>
                <w:rFonts w:ascii="Times New Roman" w:hAnsi="Times New Roman" w:cs="Times New Roman"/>
              </w:rPr>
              <w:t xml:space="preserve">projektowanej </w:t>
            </w:r>
            <w:r w:rsidRPr="008E6957">
              <w:rPr>
                <w:rFonts w:ascii="Times New Roman" w:hAnsi="Times New Roman" w:cs="Times New Roman"/>
              </w:rPr>
              <w:t xml:space="preserve">ustawy regulacji dotyczących Programu </w:t>
            </w:r>
            <w:r>
              <w:rPr>
                <w:rFonts w:ascii="Times New Roman" w:hAnsi="Times New Roman" w:cs="Times New Roman"/>
              </w:rPr>
              <w:t>o</w:t>
            </w:r>
            <w:r w:rsidRPr="008E6957">
              <w:rPr>
                <w:rFonts w:ascii="Times New Roman" w:hAnsi="Times New Roman" w:cs="Times New Roman"/>
              </w:rPr>
              <w:t xml:space="preserve">twierania </w:t>
            </w:r>
            <w:r>
              <w:rPr>
                <w:rFonts w:ascii="Times New Roman" w:hAnsi="Times New Roman" w:cs="Times New Roman"/>
              </w:rPr>
              <w:t>d</w:t>
            </w:r>
            <w:r w:rsidRPr="008E6957">
              <w:rPr>
                <w:rFonts w:ascii="Times New Roman" w:hAnsi="Times New Roman" w:cs="Times New Roman"/>
              </w:rPr>
              <w:t xml:space="preserve">anych, które znajdują się obecnie w ustawie </w:t>
            </w:r>
            <w:r>
              <w:rPr>
                <w:rFonts w:ascii="Times New Roman" w:hAnsi="Times New Roman" w:cs="Times New Roman"/>
              </w:rPr>
              <w:t xml:space="preserve">z dnia 6 września 2001 r. </w:t>
            </w:r>
            <w:r w:rsidRPr="008E6957">
              <w:rPr>
                <w:rFonts w:ascii="Times New Roman" w:hAnsi="Times New Roman" w:cs="Times New Roman"/>
              </w:rPr>
              <w:t>o do</w:t>
            </w:r>
            <w:r>
              <w:rPr>
                <w:rFonts w:ascii="Times New Roman" w:hAnsi="Times New Roman" w:cs="Times New Roman"/>
              </w:rPr>
              <w:t xml:space="preserve">stępie do informacji publicznej (Dz. U. z 2019 r. poz. 1429, z późn. zm.). </w:t>
            </w:r>
            <w:r w:rsidRPr="008E6957">
              <w:rPr>
                <w:rFonts w:ascii="Times New Roman" w:hAnsi="Times New Roman" w:cs="Times New Roman"/>
              </w:rPr>
              <w:t xml:space="preserve">Program ma na celu zwiększenia ilości oraz poprawę jakości informacji sektora publicznego, danych prywatnych oraz metadanych opisujących ich strukturę udostępnianych na portalu otwartych </w:t>
            </w:r>
            <w:r>
              <w:rPr>
                <w:rFonts w:ascii="Times New Roman" w:hAnsi="Times New Roman" w:cs="Times New Roman"/>
              </w:rPr>
              <w:t>danych. A</w:t>
            </w:r>
            <w:r w:rsidRPr="008E6957">
              <w:rPr>
                <w:rFonts w:ascii="Times New Roman" w:hAnsi="Times New Roman" w:cs="Times New Roman"/>
              </w:rPr>
              <w:t xml:space="preserve">rt. </w:t>
            </w:r>
            <w:r>
              <w:rPr>
                <w:rFonts w:ascii="Times New Roman" w:hAnsi="Times New Roman" w:cs="Times New Roman"/>
              </w:rPr>
              <w:t>31</w:t>
            </w:r>
            <w:r w:rsidRPr="008E69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zawiera m.in. </w:t>
            </w:r>
            <w:r w:rsidRPr="008E6957">
              <w:rPr>
                <w:rFonts w:ascii="Times New Roman" w:hAnsi="Times New Roman" w:cs="Times New Roman"/>
              </w:rPr>
              <w:t>przepis upoważniający ministra właściwego do spraw informatyzacji do opracowania Programu</w:t>
            </w:r>
            <w:r>
              <w:rPr>
                <w:rFonts w:ascii="Times New Roman" w:hAnsi="Times New Roman" w:cs="Times New Roman"/>
              </w:rPr>
              <w:t xml:space="preserve"> otwierania danych, wyliczenie elementów treści</w:t>
            </w:r>
            <w:r w:rsidRPr="008E6957">
              <w:rPr>
                <w:rFonts w:ascii="Times New Roman" w:hAnsi="Times New Roman" w:cs="Times New Roman"/>
              </w:rPr>
              <w:t xml:space="preserve"> jakie </w:t>
            </w:r>
            <w:r>
              <w:rPr>
                <w:rFonts w:ascii="Times New Roman" w:hAnsi="Times New Roman" w:cs="Times New Roman"/>
              </w:rPr>
              <w:t>mają znaleźć się w dokumencie, a także wskazuje okres</w:t>
            </w:r>
            <w:r w:rsidRPr="008E6957">
              <w:rPr>
                <w:rFonts w:ascii="Times New Roman" w:hAnsi="Times New Roman" w:cs="Times New Roman"/>
              </w:rPr>
              <w:t xml:space="preserve"> na jaki jest przyjmowany Prog</w:t>
            </w:r>
            <w:r>
              <w:rPr>
                <w:rFonts w:ascii="Times New Roman" w:hAnsi="Times New Roman" w:cs="Times New Roman"/>
              </w:rPr>
              <w:t>ram oraz formę jego opracowania. Należy zauważyć, iż obecnie realizowany jest Program otwierania danych publicznych,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przyjęty </w:t>
            </w:r>
            <w:r w:rsidRPr="00B30196">
              <w:rPr>
                <w:rFonts w:ascii="Times New Roman" w:hAnsi="Times New Roman" w:cs="Times New Roman"/>
              </w:rPr>
              <w:t xml:space="preserve">uchwałą Nr 107/2016 Rady Ministrów z dnia 20 września 2016 r. w sprawie ustanowienia "Programu otwierania danych publicznych". </w:t>
            </w:r>
            <w:r>
              <w:rPr>
                <w:rFonts w:ascii="Times New Roman" w:hAnsi="Times New Roman" w:cs="Times New Roman"/>
              </w:rPr>
              <w:t xml:space="preserve"> którego okres obowiązywania został przewidziany na lata 2016-2020. Przedmiotowy przepis daje zatem podstawę do kontynuowania polityki publicznej w obszarze otwartości danych w drodze kolejnego dokumentu strategicznego. </w:t>
            </w:r>
          </w:p>
          <w:p w14:paraId="49CFB61B" w14:textId="35A2490A" w:rsidR="003C3682" w:rsidRPr="008E6957" w:rsidRDefault="003C3682" w:rsidP="003C36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Dalsze artykuły rozdziału 6 (art. 32-34 projektu ustawy) regulują zadania Koordynatora Programu otwierania danych (Koordynator Programu) oraz Realizatorów Programów.  </w:t>
            </w:r>
          </w:p>
        </w:tc>
      </w:tr>
      <w:tr w:rsidR="003C3682" w:rsidRPr="00A27025" w14:paraId="204F42D9" w14:textId="77777777" w:rsidTr="00616E86">
        <w:tc>
          <w:tcPr>
            <w:tcW w:w="1413" w:type="dxa"/>
          </w:tcPr>
          <w:p w14:paraId="295451F0" w14:textId="74345B6B" w:rsidR="003C3682" w:rsidRPr="00531681" w:rsidRDefault="003C3682" w:rsidP="00AB2BE9">
            <w:pPr>
              <w:rPr>
                <w:rFonts w:ascii="Times New Roman" w:hAnsi="Times New Roman" w:cs="Times New Roman"/>
              </w:rPr>
            </w:pPr>
            <w:r w:rsidRPr="00531681">
              <w:rPr>
                <w:rFonts w:ascii="Times New Roman" w:hAnsi="Times New Roman" w:cs="Times New Roman"/>
              </w:rPr>
              <w:t>Art. 3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0" w:type="dxa"/>
            <w:gridSpan w:val="2"/>
          </w:tcPr>
          <w:p w14:paraId="20BDD931" w14:textId="77777777" w:rsidR="003C3682" w:rsidRPr="003C3682" w:rsidRDefault="003C3682" w:rsidP="003C3682">
            <w:pPr>
              <w:pStyle w:val="ARTartustawynprozporzdzenia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32.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 1. Koordynatorem działań w ramach realizacji Programu jest minister właściwy do spraw informatyzacji, zwany dalej „Koordynatorem Programu”.</w:t>
            </w:r>
          </w:p>
          <w:p w14:paraId="199A4D68" w14:textId="3D914FA9" w:rsidR="003C3682" w:rsidRPr="003C3682" w:rsidRDefault="003C3682" w:rsidP="003C3682">
            <w:pPr>
              <w:pStyle w:val="USTustnpkodeksu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2. Obsługę merytoryczną, organizacyjno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noBreakHyphen/>
              <w:t>prawną, techniczną i kancelaryjno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noBreakHyphen/>
              <w:t>biurową Koordynatora Programu zapewnia urząd obsługujący ministra właś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ciwego do spraw informatyzacji.</w:t>
            </w:r>
          </w:p>
        </w:tc>
        <w:tc>
          <w:tcPr>
            <w:tcW w:w="6291" w:type="dxa"/>
            <w:vMerge/>
          </w:tcPr>
          <w:p w14:paraId="4F9849AD" w14:textId="4DBD5A0C" w:rsidR="003C3682" w:rsidRPr="0067240F" w:rsidRDefault="003C3682" w:rsidP="003C3682">
            <w:pPr>
              <w:rPr>
                <w:rFonts w:ascii="Times New Roman" w:hAnsi="Times New Roman" w:cs="Times New Roman"/>
              </w:rPr>
            </w:pPr>
          </w:p>
        </w:tc>
      </w:tr>
      <w:tr w:rsidR="003C3682" w:rsidRPr="003C3682" w14:paraId="1A3E1642" w14:textId="77777777" w:rsidTr="00616E86">
        <w:tc>
          <w:tcPr>
            <w:tcW w:w="1413" w:type="dxa"/>
          </w:tcPr>
          <w:p w14:paraId="74BA9D65" w14:textId="5DB78A8D" w:rsidR="003C3682" w:rsidRPr="003C3682" w:rsidRDefault="003C3682" w:rsidP="00AB2BE9">
            <w:pPr>
              <w:rPr>
                <w:rFonts w:ascii="Times New Roman" w:hAnsi="Times New Roman" w:cs="Times New Roman"/>
                <w:lang w:val="en-GB"/>
              </w:rPr>
            </w:pPr>
            <w:r w:rsidRPr="003C3682">
              <w:rPr>
                <w:rFonts w:ascii="Times New Roman" w:hAnsi="Times New Roman" w:cs="Times New Roman"/>
                <w:lang w:val="en-GB"/>
              </w:rPr>
              <w:t xml:space="preserve">Art. </w:t>
            </w:r>
            <w:r>
              <w:rPr>
                <w:rFonts w:ascii="Times New Roman" w:hAnsi="Times New Roman" w:cs="Times New Roman"/>
                <w:lang w:val="en-GB"/>
              </w:rPr>
              <w:t>33</w:t>
            </w:r>
          </w:p>
        </w:tc>
        <w:tc>
          <w:tcPr>
            <w:tcW w:w="6290" w:type="dxa"/>
            <w:gridSpan w:val="2"/>
          </w:tcPr>
          <w:p w14:paraId="3C2A75A8" w14:textId="4B8021A1" w:rsidR="003C3682" w:rsidRPr="003C3682" w:rsidRDefault="003C3682" w:rsidP="003C3682">
            <w:pPr>
              <w:pStyle w:val="ARTartustawynprozporzdzenia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Art. 33. Do zadań Realizatora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Programu należy w 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szczególności:</w:t>
            </w:r>
          </w:p>
          <w:p w14:paraId="43F09176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zapewnienie należytego wdrażania Programu </w:t>
            </w:r>
            <w:r w:rsidRPr="003C368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w zakresie swojego działania, w tym 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 xml:space="preserve">w organach i jednostkach organizacyjnych podległych lub nadzorowanych </w:t>
            </w:r>
          </w:p>
          <w:p w14:paraId="7F093720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2) 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współpraca z Koordynatorem Programu w zakresie wdrażania Programu;</w:t>
            </w:r>
          </w:p>
          <w:p w14:paraId="1F94CFF9" w14:textId="3CDDCC42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przedstawianie Koordynatorowi Programu harmonogramu udostępniania nowych informacji sektora publicznego na portalu danych oraz poprawy jakość informacji sektora publicznego udostępnianych na portalu danych w każdym półroczu, w zakresie swojego działania, w tym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organów i 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jednostek organizacyjnych podległych lub nadzorowanych, do weryfikacji pod względem spełniania warunków, o których mowa w art. 35 ust. 1 i 4;</w:t>
            </w:r>
          </w:p>
          <w:p w14:paraId="3635333D" w14:textId="279B4C89" w:rsidR="003C3682" w:rsidRPr="003C3682" w:rsidRDefault="003C3682" w:rsidP="003C3682">
            <w:pPr>
              <w:pStyle w:val="PKTpunkt"/>
              <w:spacing w:line="240" w:lineRule="auto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 xml:space="preserve">4) 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składanie Koordynatorowi Programu rocznego spraw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ozdania z 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realizacji Programu w terminie do 31 stycznia roku następującego po roku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którego dotyczy sprawozdanie.</w:t>
            </w:r>
          </w:p>
        </w:tc>
        <w:tc>
          <w:tcPr>
            <w:tcW w:w="6291" w:type="dxa"/>
            <w:vMerge/>
          </w:tcPr>
          <w:p w14:paraId="31FB8C32" w14:textId="77777777" w:rsidR="003C3682" w:rsidRPr="003C3682" w:rsidRDefault="003C3682" w:rsidP="003C3682">
            <w:pPr>
              <w:rPr>
                <w:rFonts w:ascii="Times New Roman" w:hAnsi="Times New Roman" w:cs="Times New Roman"/>
              </w:rPr>
            </w:pPr>
          </w:p>
        </w:tc>
      </w:tr>
      <w:tr w:rsidR="003C3682" w:rsidRPr="003C3682" w14:paraId="75479603" w14:textId="77777777" w:rsidTr="00616E86">
        <w:tc>
          <w:tcPr>
            <w:tcW w:w="1413" w:type="dxa"/>
          </w:tcPr>
          <w:p w14:paraId="653B2D05" w14:textId="7DCD7F24" w:rsidR="003C3682" w:rsidRPr="003C3682" w:rsidRDefault="003C3682" w:rsidP="00AB2BE9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lastRenderedPageBreak/>
              <w:t>Art. 34</w:t>
            </w:r>
          </w:p>
        </w:tc>
        <w:tc>
          <w:tcPr>
            <w:tcW w:w="6290" w:type="dxa"/>
            <w:gridSpan w:val="2"/>
          </w:tcPr>
          <w:p w14:paraId="772F5453" w14:textId="28283A0F" w:rsidR="003C3682" w:rsidRPr="003C3682" w:rsidRDefault="003C3682" w:rsidP="003C3682">
            <w:pPr>
              <w:pStyle w:val="ARTartustawynprozporzdzenia"/>
              <w:keepNext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Art. 34.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 Do zadań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Koordynatora Programu należy w 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szczególności:</w:t>
            </w:r>
          </w:p>
          <w:p w14:paraId="6DC2EEE2" w14:textId="40667D7F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przedstawianie Radzie Ministrów informacji z realizacji Programu w terminie do dnia 31 marca roku następującego po roku, za który sporządzana jest informacja oraz przedstawienie końcowego sprawozdania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 realizacji Programu w ciągu 6 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miesięcy od jego zakończenia;</w:t>
            </w:r>
          </w:p>
          <w:p w14:paraId="6A534252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dokonywanie we współpracy z Realizatorami Programu przeglądu Programu co 2 lata;</w:t>
            </w:r>
          </w:p>
          <w:p w14:paraId="17242520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promowanie jednolitej polityki otwartego dostępu do danych;</w:t>
            </w:r>
          </w:p>
          <w:p w14:paraId="60B0EE3A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4)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wskazywanie kierunków rozwoju w zakresie otwartości danych, oraz inicjowanie działań innowacyjnych w zakresie wspierania polityki otwartego dostępu do danych;</w:t>
            </w:r>
          </w:p>
          <w:p w14:paraId="7EB00A59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5)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harmonizacja procesów wynikających z wdrażania Programu;</w:t>
            </w:r>
          </w:p>
          <w:p w14:paraId="4289EC05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6)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współpraca z Realizatorami Programu, w zakresie wdrażania Programu;</w:t>
            </w:r>
          </w:p>
          <w:p w14:paraId="4030670A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7)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wsparcie Realizatorów Programu i podmiotów, o których mowa w art. 35 ust. 2, w udostępnianiu informacji sektora publicznego i metadanych;</w:t>
            </w:r>
          </w:p>
          <w:p w14:paraId="1BEDC1B4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8)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zaplanowanie i skoordynowanie działań edukacyjnych, podnoszących kompetencje cyfrowe administracji w zakresie otwartości danych;</w:t>
            </w:r>
          </w:p>
          <w:p w14:paraId="0B2CCC6B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monitorowanie postępów w realizacji Programu;</w:t>
            </w:r>
          </w:p>
          <w:p w14:paraId="2A3B1413" w14:textId="7F13DE3C" w:rsidR="003C3682" w:rsidRPr="003C3682" w:rsidRDefault="003C3682" w:rsidP="003C3682">
            <w:pPr>
              <w:pStyle w:val="PKTpunkt"/>
              <w:spacing w:line="240" w:lineRule="auto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10)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współpraca z podmiotami zobowiązanymi, organizacjami pozarządowym oraz innymi podmiotami uczestniczącymi w działaniach w zakre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sie polityki otwierania danych.</w:t>
            </w:r>
          </w:p>
        </w:tc>
        <w:tc>
          <w:tcPr>
            <w:tcW w:w="6291" w:type="dxa"/>
            <w:vMerge/>
          </w:tcPr>
          <w:p w14:paraId="377DEF06" w14:textId="77777777" w:rsidR="003C3682" w:rsidRPr="003C3682" w:rsidRDefault="003C3682" w:rsidP="003C3682">
            <w:pPr>
              <w:rPr>
                <w:rFonts w:ascii="Times New Roman" w:hAnsi="Times New Roman" w:cs="Times New Roman"/>
              </w:rPr>
            </w:pPr>
          </w:p>
        </w:tc>
      </w:tr>
      <w:tr w:rsidR="003C3682" w:rsidRPr="003C3682" w14:paraId="05D850F8" w14:textId="77777777" w:rsidTr="00616E86">
        <w:tc>
          <w:tcPr>
            <w:tcW w:w="1413" w:type="dxa"/>
          </w:tcPr>
          <w:p w14:paraId="41900554" w14:textId="2B876D91" w:rsidR="003C3682" w:rsidRDefault="003C3682" w:rsidP="00AB2BE9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lastRenderedPageBreak/>
              <w:t>Art. 40</w:t>
            </w:r>
          </w:p>
        </w:tc>
        <w:tc>
          <w:tcPr>
            <w:tcW w:w="6290" w:type="dxa"/>
            <w:gridSpan w:val="2"/>
          </w:tcPr>
          <w:p w14:paraId="4740623E" w14:textId="77777777" w:rsidR="003C3682" w:rsidRPr="003C3682" w:rsidRDefault="003C3682" w:rsidP="003C3682">
            <w:pPr>
              <w:pStyle w:val="ARTartustawynprozporzdzenia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65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40.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 1. Realizowanie działań mających na celu poprawę jakości i zwiększenie ilości informacji sektora publicznego udostępnianych na portalu danych w celu ponownego wykorzystywania powierza się Pełnomocnikom do spraw otwartości danych, zwanych dalej „Pełnomocnikami”.</w:t>
            </w:r>
          </w:p>
          <w:p w14:paraId="0C05B407" w14:textId="7B2AA6B6" w:rsidR="003C3682" w:rsidRPr="003C3682" w:rsidRDefault="003C3682" w:rsidP="003C3682">
            <w:pPr>
              <w:pStyle w:val="USTustnpkodeksu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2. Pełnomocnicy wyznaczani są przez członków Rady Ministrów, po jednym z każdego urzędu obsługującego ministra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 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Prezesa Rady Ministrów oraz przez Prezesa Głównego Urzędu Statystycznego.</w:t>
            </w:r>
          </w:p>
          <w:p w14:paraId="51D8194E" w14:textId="0939C6B8" w:rsidR="003C3682" w:rsidRPr="003C3682" w:rsidRDefault="003C3682" w:rsidP="003C3682">
            <w:pPr>
              <w:pStyle w:val="USTustnpkodeksu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3. Pełnomocnicy, o których mo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wa w ust. 2, działają również w 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organach i jednostkach organizacyjnych podległych lub nadzorowanych przez właści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wych członków Rady Ministrów, z 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 xml:space="preserve">wyjątkiem Pełnomocnika powołanego przez Prezesa Głównego Urzędu Statystycznego.  </w:t>
            </w:r>
          </w:p>
          <w:p w14:paraId="6A4F97FB" w14:textId="77777777" w:rsidR="003C3682" w:rsidRPr="003C3682" w:rsidRDefault="003C3682" w:rsidP="003C3682">
            <w:pPr>
              <w:pStyle w:val="USTustnpkodeksu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 xml:space="preserve">4. Pełnomocnicy mogą być wyznaczeni przez  inne niż wymienione w ust. 2 podmioty zobowiązane. </w:t>
            </w:r>
          </w:p>
          <w:p w14:paraId="0A865F70" w14:textId="77777777" w:rsidR="003C3682" w:rsidRPr="003C3682" w:rsidRDefault="003C3682" w:rsidP="003C3682">
            <w:pPr>
              <w:pStyle w:val="USTustnpkodeksu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5. Pełnomocników powołuje i odwołuje kierownik jednostki organizacyjnej, w której zatrudniony jest Pełnomocnik.</w:t>
            </w:r>
          </w:p>
          <w:p w14:paraId="60080AB3" w14:textId="77777777" w:rsidR="003C3682" w:rsidRPr="003C3682" w:rsidRDefault="003C3682" w:rsidP="003C3682">
            <w:pPr>
              <w:pStyle w:val="USTustnpkodeksu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6. W zakresie wykonywanych zadań Pełnomocnik podlega bezpośrednio kierownikowi jednostki organizacyjnej, w której powołano Pełnomocnika.</w:t>
            </w:r>
          </w:p>
          <w:p w14:paraId="4D294507" w14:textId="2E952324" w:rsidR="003C3682" w:rsidRPr="003C3682" w:rsidRDefault="003C3682" w:rsidP="003C3682">
            <w:pPr>
              <w:pStyle w:val="USTustnpkodeksu"/>
              <w:spacing w:line="240" w:lineRule="auto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7. Obsługę merytoryczną, organizacyjno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noBreakHyphen/>
              <w:t>prawną, techniczną i kancelaryjno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noBreakHyphen/>
              <w:t>biurową Pełnomocnika zapewnia ministerstwo albo inny urząd, w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którym powołano Pełnomocnika.</w:t>
            </w:r>
          </w:p>
        </w:tc>
        <w:tc>
          <w:tcPr>
            <w:tcW w:w="6291" w:type="dxa"/>
            <w:vMerge w:val="restart"/>
          </w:tcPr>
          <w:p w14:paraId="4349EB65" w14:textId="409E0678" w:rsidR="003C3682" w:rsidRPr="003C3682" w:rsidRDefault="00105765" w:rsidP="00096AB8">
            <w:pPr>
              <w:jc w:val="both"/>
              <w:rPr>
                <w:rFonts w:ascii="Times New Roman" w:hAnsi="Times New Roman" w:cs="Times New Roman"/>
              </w:rPr>
            </w:pPr>
            <w:r w:rsidRPr="0067240F">
              <w:rPr>
                <w:rFonts w:ascii="Times New Roman" w:hAnsi="Times New Roman" w:cs="Times New Roman"/>
              </w:rPr>
              <w:t xml:space="preserve">Art. </w:t>
            </w:r>
            <w:r>
              <w:rPr>
                <w:rFonts w:ascii="Times New Roman" w:hAnsi="Times New Roman" w:cs="Times New Roman"/>
              </w:rPr>
              <w:t xml:space="preserve">40 i 41 </w:t>
            </w:r>
            <w:r w:rsidR="00096AB8">
              <w:rPr>
                <w:rFonts w:ascii="Times New Roman" w:hAnsi="Times New Roman" w:cs="Times New Roman"/>
              </w:rPr>
              <w:t xml:space="preserve">projektu ustawy </w:t>
            </w:r>
            <w:r>
              <w:rPr>
                <w:rFonts w:ascii="Times New Roman" w:hAnsi="Times New Roman" w:cs="Times New Roman"/>
              </w:rPr>
              <w:t>znajdują się w rozdziale</w:t>
            </w:r>
            <w:r w:rsidR="00096AB8">
              <w:rPr>
                <w:rFonts w:ascii="Times New Roman" w:hAnsi="Times New Roman" w:cs="Times New Roman"/>
              </w:rPr>
              <w:t xml:space="preserve"> 8 </w:t>
            </w:r>
            <w:r>
              <w:rPr>
                <w:rFonts w:ascii="Times New Roman" w:hAnsi="Times New Roman" w:cs="Times New Roman"/>
              </w:rPr>
              <w:t xml:space="preserve">„Pełnomocnicy do spraw otwartości danych”. W obecnym stanie prawnym siec pełnomocników do spraw otwartości danych funkcjonuje na podstawie </w:t>
            </w:r>
            <w:r w:rsidRPr="0067240F">
              <w:rPr>
                <w:rFonts w:ascii="Times New Roman" w:hAnsi="Times New Roman" w:cs="Times New Roman"/>
              </w:rPr>
              <w:t xml:space="preserve">Programu </w:t>
            </w:r>
            <w:r>
              <w:rPr>
                <w:rFonts w:ascii="Times New Roman" w:hAnsi="Times New Roman" w:cs="Times New Roman"/>
              </w:rPr>
              <w:t>o</w:t>
            </w:r>
            <w:r w:rsidRPr="0067240F">
              <w:rPr>
                <w:rFonts w:ascii="Times New Roman" w:hAnsi="Times New Roman" w:cs="Times New Roman"/>
              </w:rPr>
              <w:t xml:space="preserve">twierania </w:t>
            </w:r>
            <w:r>
              <w:rPr>
                <w:rFonts w:ascii="Times New Roman" w:hAnsi="Times New Roman" w:cs="Times New Roman"/>
              </w:rPr>
              <w:t xml:space="preserve">danych publicznych. Za ustawowym umocowaniem sieci pełnomocników przemawiają doświadczenia z okresu wdrażania Programu przez Ministerstwo Cyfryzacji (obecnie KPRM) w latach 2016-2020. W tym zakresie za niezbędne uznano również poszerzenie działalności </w:t>
            </w:r>
            <w:r w:rsidRPr="0067240F">
              <w:rPr>
                <w:rFonts w:ascii="Times New Roman" w:hAnsi="Times New Roman" w:cs="Times New Roman"/>
              </w:rPr>
              <w:t>pełnomocników na wi</w:t>
            </w:r>
            <w:r>
              <w:rPr>
                <w:rFonts w:ascii="Times New Roman" w:hAnsi="Times New Roman" w:cs="Times New Roman"/>
              </w:rPr>
              <w:t xml:space="preserve">elu poziomach instytucjonalnych. Uregulowanie działalności sieci pełnomocników w przepisach ustawowych </w:t>
            </w:r>
            <w:r w:rsidRPr="0067240F">
              <w:rPr>
                <w:rFonts w:ascii="Times New Roman" w:hAnsi="Times New Roman" w:cs="Times New Roman"/>
              </w:rPr>
              <w:t>pozwoli na ujednolicenie</w:t>
            </w:r>
            <w:r>
              <w:rPr>
                <w:rFonts w:ascii="Times New Roman" w:hAnsi="Times New Roman" w:cs="Times New Roman"/>
              </w:rPr>
              <w:t xml:space="preserve"> oraz lepszą koordynację </w:t>
            </w:r>
            <w:r w:rsidRPr="0067240F">
              <w:rPr>
                <w:rFonts w:ascii="Times New Roman" w:hAnsi="Times New Roman" w:cs="Times New Roman"/>
              </w:rPr>
              <w:t>działań w zakresie wdrażania polityki otwartości d</w:t>
            </w:r>
            <w:r>
              <w:rPr>
                <w:rFonts w:ascii="Times New Roman" w:hAnsi="Times New Roman" w:cs="Times New Roman"/>
              </w:rPr>
              <w:t>anych</w:t>
            </w:r>
            <w:r w:rsidRPr="0067240F">
              <w:rPr>
                <w:rFonts w:ascii="Times New Roman" w:hAnsi="Times New Roman" w:cs="Times New Roman"/>
              </w:rPr>
              <w:t xml:space="preserve"> na ró</w:t>
            </w:r>
            <w:r>
              <w:rPr>
                <w:rFonts w:ascii="Times New Roman" w:hAnsi="Times New Roman" w:cs="Times New Roman"/>
              </w:rPr>
              <w:t xml:space="preserve">żnych szczeblach administracji, a także </w:t>
            </w:r>
            <w:r w:rsidRPr="0067240F">
              <w:rPr>
                <w:rFonts w:ascii="Times New Roman" w:hAnsi="Times New Roman" w:cs="Times New Roman"/>
              </w:rPr>
              <w:t>przyczyni się do przyspiesze</w:t>
            </w:r>
            <w:r>
              <w:rPr>
                <w:rFonts w:ascii="Times New Roman" w:hAnsi="Times New Roman" w:cs="Times New Roman"/>
              </w:rPr>
              <w:t>nia procesu otwierania danych w </w:t>
            </w:r>
            <w:r w:rsidRPr="0067240F">
              <w:rPr>
                <w:rFonts w:ascii="Times New Roman" w:hAnsi="Times New Roman" w:cs="Times New Roman"/>
              </w:rPr>
              <w:t>Polsce oraz poprawy ich jakości.</w:t>
            </w:r>
          </w:p>
        </w:tc>
      </w:tr>
      <w:tr w:rsidR="003C3682" w:rsidRPr="003C3682" w14:paraId="29D93D30" w14:textId="77777777" w:rsidTr="00616E86">
        <w:tc>
          <w:tcPr>
            <w:tcW w:w="1413" w:type="dxa"/>
          </w:tcPr>
          <w:p w14:paraId="413421B3" w14:textId="31C0423A" w:rsidR="003C3682" w:rsidRDefault="003C3682" w:rsidP="00AB2BE9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Art. 41</w:t>
            </w:r>
          </w:p>
        </w:tc>
        <w:tc>
          <w:tcPr>
            <w:tcW w:w="6290" w:type="dxa"/>
            <w:gridSpan w:val="2"/>
          </w:tcPr>
          <w:p w14:paraId="140DDD66" w14:textId="77777777" w:rsidR="003C3682" w:rsidRPr="003C3682" w:rsidRDefault="003C3682" w:rsidP="003C3682">
            <w:pPr>
              <w:pStyle w:val="ARTartustawynprozporzdzenia"/>
              <w:keepNext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65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41.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  Do zadań Pełnomocnika należy w szczególności:</w:t>
            </w:r>
          </w:p>
          <w:p w14:paraId="72F35C02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pozyskiwanie informacji sektora publicznego możliwych do udostępniania na portalu danych, będących w posiadaniu jednostki organizacyjnej, w której został powołany oraz, o ile dotyczy, w organach i jednostkach organizacyjnych podległych lub nadzorowanych przez właściwego ministra albo Prezesa Rady Ministrów;</w:t>
            </w:r>
          </w:p>
          <w:p w14:paraId="7D1D9D47" w14:textId="4BFAC270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2) 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wspieranie, o ile dotyczy, Realizatora Programu 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wykonywaniu zadań związanych z realizacją Programu;</w:t>
            </w:r>
          </w:p>
          <w:p w14:paraId="7427A400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ocena informacji sektora publicznego będących w posiadaniu jednostki organizacyjnej, w której został powołany oraz, o ile dotyczy, w organach i jednostkach organizacyjnych podległych lub nadzorowanych przez właściwego ministra albo Prezesa Rady Ministrów,</w:t>
            </w:r>
            <w:r w:rsidRPr="003C3682" w:rsidDel="00EB4D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pod względem ich jakości oraz użyteczności, do ich ponownego wykorzystywania;</w:t>
            </w:r>
          </w:p>
          <w:p w14:paraId="2FCB93E7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4)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monitorowanie jakości i aktualności informacji sektora publicznego oraz metadanych udostępnianych na portalu danych oraz formatów danych, o których mowa w art. 35 ust. 4 pkt 1;</w:t>
            </w:r>
          </w:p>
          <w:p w14:paraId="2FF5E128" w14:textId="77777777" w:rsidR="003C3682" w:rsidRPr="003C3682" w:rsidRDefault="003C3682" w:rsidP="003C3682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5)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współpraca z komórkami organizacyjnymi jednostki organizacyjnej, w której został powołany oraz, o ile dotyczy, z organami i jednostkami organizacyjnymi podległymi lub nadzorowanymi przez właściwego ministra albo Prezesa Rady Ministrów, w zakresie poprawy jakości informacji sektora publicznego udostępnianych na portalu danych;</w:t>
            </w:r>
          </w:p>
          <w:p w14:paraId="07FDB842" w14:textId="70AC0042" w:rsidR="003C3682" w:rsidRPr="003C3682" w:rsidRDefault="003C3682" w:rsidP="003C3682">
            <w:pPr>
              <w:pStyle w:val="PKTpunkt"/>
              <w:spacing w:line="240" w:lineRule="auto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>6)</w:t>
            </w:r>
            <w:r w:rsidRPr="003C3682">
              <w:rPr>
                <w:rFonts w:ascii="Times New Roman" w:hAnsi="Times New Roman" w:cs="Times New Roman"/>
                <w:sz w:val="22"/>
                <w:szCs w:val="22"/>
              </w:rPr>
              <w:tab/>
              <w:t>podejmowanie działań mających na celu podnoszenie świadomości pracowników jednostki organizacyjnej, w której został powołany oraz, o ile dotyczy, pracowników organów i jednostek organizacyjnych podległych lub nadzorowanych przez właściwego ministra albo Prezesa Rady Ministrów,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 zakresie otwartości danych.</w:t>
            </w:r>
          </w:p>
        </w:tc>
        <w:tc>
          <w:tcPr>
            <w:tcW w:w="6291" w:type="dxa"/>
            <w:vMerge/>
          </w:tcPr>
          <w:p w14:paraId="2B92627E" w14:textId="77777777" w:rsidR="003C3682" w:rsidRPr="003C3682" w:rsidRDefault="003C3682" w:rsidP="003C3682">
            <w:pPr>
              <w:rPr>
                <w:rFonts w:ascii="Times New Roman" w:hAnsi="Times New Roman" w:cs="Times New Roman"/>
              </w:rPr>
            </w:pPr>
          </w:p>
        </w:tc>
      </w:tr>
      <w:tr w:rsidR="00501053" w:rsidRPr="00A27025" w14:paraId="471DB3DA" w14:textId="77777777" w:rsidTr="00616E86">
        <w:tc>
          <w:tcPr>
            <w:tcW w:w="1413" w:type="dxa"/>
          </w:tcPr>
          <w:p w14:paraId="4FD11708" w14:textId="7ADF2CF0" w:rsidR="00501053" w:rsidRPr="0020590B" w:rsidRDefault="00501053" w:rsidP="00AB2BE9">
            <w:pPr>
              <w:rPr>
                <w:rFonts w:ascii="Times New Roman" w:hAnsi="Times New Roman" w:cs="Times New Roman"/>
                <w:lang w:val="en-US"/>
              </w:rPr>
            </w:pPr>
            <w:r w:rsidRPr="0020590B">
              <w:rPr>
                <w:rFonts w:ascii="Times New Roman" w:hAnsi="Times New Roman" w:cs="Times New Roman"/>
                <w:lang w:val="en-US"/>
              </w:rPr>
              <w:lastRenderedPageBreak/>
              <w:t>Art. 4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  <w:p w14:paraId="5C7189FC" w14:textId="7874368A" w:rsidR="00501053" w:rsidRPr="00501053" w:rsidRDefault="00501053" w:rsidP="005010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0" w:type="dxa"/>
            <w:gridSpan w:val="2"/>
          </w:tcPr>
          <w:p w14:paraId="79547987" w14:textId="77777777" w:rsidR="00501053" w:rsidRPr="00501053" w:rsidRDefault="00501053" w:rsidP="00501053">
            <w:pPr>
              <w:pStyle w:val="ARTartustawynprozporzdzenia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48.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 W ustawie z dnia 17 maja 1989 r. – Prawo geodezyjne i kartograficzne (Dz. U. z 2020 poz. 2052) w art. 40k wyrazy „ustawy z dnia 25 lutego 2016 r. o ponownym wykorzystywaniu informacji sektora publicznego (Dz. U. z 2019 r. poz. 1446)” zastępuje się wyrazami „ustawy z dnia … o otwartych danych i ponownym wykorzystywaniu informacji sektora publicznego (Dz. U. poz. …)”.</w:t>
            </w:r>
          </w:p>
          <w:p w14:paraId="1668DC1E" w14:textId="77777777" w:rsidR="00501053" w:rsidRPr="00501053" w:rsidRDefault="00501053" w:rsidP="00501053">
            <w:pPr>
              <w:pStyle w:val="ARTartustawynprozporzdzenia"/>
              <w:spacing w:before="0" w:line="240" w:lineRule="auto"/>
              <w:ind w:firstLine="0"/>
              <w:jc w:val="left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</w:p>
          <w:p w14:paraId="40459C0B" w14:textId="12E2B992" w:rsidR="00501053" w:rsidRPr="00501053" w:rsidRDefault="00501053" w:rsidP="00501053">
            <w:pPr>
              <w:pStyle w:val="ZPKTzmpktartykuempunktem"/>
              <w:spacing w:line="240" w:lineRule="auto"/>
              <w:jc w:val="left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E121460" w14:textId="77777777" w:rsidR="00501053" w:rsidRPr="00501053" w:rsidRDefault="00501053" w:rsidP="00501053">
            <w:pPr>
              <w:pStyle w:val="ZARTzmartartykuempunktem"/>
              <w:spacing w:line="240" w:lineRule="auto"/>
              <w:jc w:val="left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43EFE122" w14:textId="77777777" w:rsidR="00501053" w:rsidRPr="00501053" w:rsidRDefault="00501053" w:rsidP="00501053">
            <w:pPr>
              <w:pStyle w:val="ARTartustawynprozporzdzenia"/>
              <w:spacing w:before="0" w:line="240" w:lineRule="auto"/>
              <w:jc w:val="left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</w:p>
          <w:p w14:paraId="68AF2B58" w14:textId="77777777" w:rsidR="00501053" w:rsidRPr="00501053" w:rsidRDefault="00501053" w:rsidP="00501053">
            <w:pPr>
              <w:pStyle w:val="ARTartustawynprozporzdzenia"/>
              <w:keepNext/>
              <w:spacing w:before="0" w:line="240" w:lineRule="auto"/>
              <w:jc w:val="left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</w:p>
          <w:p w14:paraId="130F6D23" w14:textId="77777777" w:rsidR="00501053" w:rsidRPr="00501053" w:rsidRDefault="00501053" w:rsidP="00501053">
            <w:pPr>
              <w:pStyle w:val="PKTpunkt"/>
              <w:keepNext/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291" w:type="dxa"/>
            <w:vMerge w:val="restart"/>
          </w:tcPr>
          <w:p w14:paraId="42A28D90" w14:textId="168D55D4" w:rsidR="00501053" w:rsidRDefault="00501053" w:rsidP="003967BA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Art. 48-59 projektu ustawy zebrane zostały </w:t>
            </w:r>
            <w:r w:rsidR="003967BA">
              <w:rPr>
                <w:rFonts w:ascii="Times New Roman" w:eastAsia="Calibri" w:hAnsi="Times New Roman" w:cs="Times New Roman"/>
              </w:rPr>
              <w:t>w rozdziale 10 projektu ustawy „Zmiany w przepisach obowiązujących”.</w:t>
            </w:r>
          </w:p>
          <w:p w14:paraId="711DA041" w14:textId="77777777" w:rsidR="00501053" w:rsidRDefault="00501053" w:rsidP="00A02B08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eastAsia="Calibri" w:hAnsi="Times New Roman" w:cs="Times New Roman"/>
              </w:rPr>
            </w:pPr>
          </w:p>
          <w:p w14:paraId="1D524277" w14:textId="77777777" w:rsidR="003967BA" w:rsidRPr="003967BA" w:rsidRDefault="003967BA" w:rsidP="003967BA">
            <w:pPr>
              <w:numPr>
                <w:ilvl w:val="0"/>
                <w:numId w:val="1"/>
              </w:numPr>
              <w:ind w:left="406" w:hanging="42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967BA">
              <w:rPr>
                <w:rFonts w:ascii="Times New Roman" w:eastAsia="Calibri" w:hAnsi="Times New Roman" w:cs="Times New Roman"/>
              </w:rPr>
              <w:t xml:space="preserve">Projekt ustawy dokonuje nowelizacji ustawy z dnia 6 września 2001 r. o dostępie do informacji publicznej w zakresie zmian będących konsekwencją wyodrębnienia z przedmiotowej ustawy regulacji dotyczących centralnego repozytorium informacji publicznej i wprowadzenia w projekcie ustawy przepisów odwołujących się do portalu danych, tj. art. 1 ust. 2, art. 7 ust. 1 </w:t>
            </w:r>
            <w:r w:rsidRPr="003967BA">
              <w:rPr>
                <w:rFonts w:ascii="Times New Roman" w:eastAsia="Calibri" w:hAnsi="Times New Roman" w:cs="Times New Roman"/>
              </w:rPr>
              <w:lastRenderedPageBreak/>
              <w:t>pkt 4, art. 9 ust. 1 pkt 3 oraz art. 10 ust. 1 oraz uchylenia art. 1 ust. 3 oraz art. 9a – 9e,</w:t>
            </w:r>
          </w:p>
          <w:p w14:paraId="77CCA3AC" w14:textId="14892032" w:rsidR="003967BA" w:rsidRPr="003967BA" w:rsidRDefault="003967BA" w:rsidP="003967BA">
            <w:pPr>
              <w:numPr>
                <w:ilvl w:val="0"/>
                <w:numId w:val="1"/>
              </w:numPr>
              <w:ind w:left="406" w:hanging="42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967BA">
              <w:rPr>
                <w:rFonts w:ascii="Times New Roman" w:eastAsia="Calibri" w:hAnsi="Times New Roman" w:cs="Times New Roman"/>
              </w:rPr>
              <w:t>Projekt dokonuje nowelizacji ustawy z dnia 20 sierpnia 1997 r. o Krajowym Rejestrze Sądowym (Dz. U. z 2019 r. poz. 1500</w:t>
            </w:r>
            <w:r>
              <w:rPr>
                <w:rFonts w:ascii="Times New Roman" w:eastAsia="Calibri" w:hAnsi="Times New Roman" w:cs="Times New Roman"/>
              </w:rPr>
              <w:t>, z </w:t>
            </w:r>
            <w:r w:rsidRPr="003967BA">
              <w:rPr>
                <w:rFonts w:ascii="Times New Roman" w:eastAsia="Calibri" w:hAnsi="Times New Roman" w:cs="Times New Roman"/>
              </w:rPr>
              <w:t>późn. zm.) w zakresie zmian dotyczących wprowadzenia w przedmiotowej ustawie przepisów regulujących udostępnianie i przekazywanie do ponownego wykorzystywania danych zgromadzanych w Krajowym Rejestrze Sądowym, tj. dodanie po art. 4a przedmiotowej ustawy art. 4b;</w:t>
            </w:r>
          </w:p>
          <w:p w14:paraId="00AFFE07" w14:textId="77447BF8" w:rsidR="003967BA" w:rsidRPr="003967BA" w:rsidRDefault="003967BA" w:rsidP="003967BA">
            <w:pPr>
              <w:numPr>
                <w:ilvl w:val="0"/>
                <w:numId w:val="1"/>
              </w:numPr>
              <w:ind w:left="406" w:hanging="42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967BA">
              <w:rPr>
                <w:rFonts w:ascii="Times New Roman" w:eastAsia="Calibri" w:hAnsi="Times New Roman" w:cs="Times New Roman"/>
              </w:rPr>
              <w:t xml:space="preserve">Projekt dokonuje nowelizacji ustawy dnia 29 czerwca </w:t>
            </w:r>
            <w:r>
              <w:rPr>
                <w:rFonts w:ascii="Times New Roman" w:eastAsia="Calibri" w:hAnsi="Times New Roman" w:cs="Times New Roman"/>
              </w:rPr>
              <w:t>1995 r. o </w:t>
            </w:r>
            <w:r w:rsidRPr="003967BA">
              <w:rPr>
                <w:rFonts w:ascii="Times New Roman" w:eastAsia="Calibri" w:hAnsi="Times New Roman" w:cs="Times New Roman"/>
              </w:rPr>
              <w:t xml:space="preserve">statystyce publicznej (Dz. U. z 2020 r. poz. 443z późn. zm.). </w:t>
            </w:r>
          </w:p>
          <w:p w14:paraId="7AB10A10" w14:textId="77777777" w:rsidR="003967BA" w:rsidRPr="003967BA" w:rsidRDefault="003967BA" w:rsidP="003967BA">
            <w:pPr>
              <w:ind w:left="831" w:hanging="42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967BA">
              <w:rPr>
                <w:rFonts w:ascii="Times New Roman" w:eastAsia="Calibri" w:hAnsi="Times New Roman" w:cs="Times New Roman"/>
              </w:rPr>
              <w:t>Dodanie pkt 16 w art. 2.</w:t>
            </w:r>
          </w:p>
          <w:p w14:paraId="74DBF881" w14:textId="77777777" w:rsidR="003967BA" w:rsidRPr="003967BA" w:rsidRDefault="003967BA" w:rsidP="003967BA">
            <w:pPr>
              <w:ind w:left="406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967BA">
              <w:rPr>
                <w:rFonts w:ascii="Times New Roman" w:eastAsia="Calibri" w:hAnsi="Times New Roman" w:cs="Times New Roman"/>
              </w:rPr>
              <w:t>Potrzeba dodanie pkt 16 w art. 2 ustawy o statystyce publicznej wynika z wykorzystywania tego pojęcia w dalszych przepisach tej ustawy</w:t>
            </w:r>
          </w:p>
          <w:p w14:paraId="35D9596F" w14:textId="77777777" w:rsidR="003967BA" w:rsidRPr="003967BA" w:rsidRDefault="003967BA" w:rsidP="003967BA">
            <w:pPr>
              <w:ind w:left="831" w:hanging="42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967BA">
              <w:rPr>
                <w:rFonts w:ascii="Times New Roman" w:eastAsia="Calibri" w:hAnsi="Times New Roman" w:cs="Times New Roman"/>
              </w:rPr>
              <w:t>Dodanie w art. 13 po ust. 1 ust. 1a.</w:t>
            </w:r>
          </w:p>
          <w:p w14:paraId="6E48D8CE" w14:textId="213AFB72" w:rsidR="003967BA" w:rsidRPr="003967BA" w:rsidRDefault="003967BA" w:rsidP="003967BA">
            <w:pPr>
              <w:ind w:left="406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967BA">
              <w:rPr>
                <w:rFonts w:ascii="Times New Roman" w:eastAsia="Calibri" w:hAnsi="Times New Roman" w:cs="Times New Roman"/>
              </w:rPr>
              <w:t>zmiana w art. 13 ustawy o statystyce publicznej ma umożliwić szybkie udostępnian</w:t>
            </w:r>
            <w:r>
              <w:rPr>
                <w:rFonts w:ascii="Times New Roman" w:eastAsia="Calibri" w:hAnsi="Times New Roman" w:cs="Times New Roman"/>
              </w:rPr>
              <w:t>ie  danych przez Prezesa GUS  w </w:t>
            </w:r>
            <w:r w:rsidRPr="003967BA">
              <w:rPr>
                <w:rFonts w:ascii="Times New Roman" w:eastAsia="Calibri" w:hAnsi="Times New Roman" w:cs="Times New Roman"/>
              </w:rPr>
              <w:t>szczególnych sytuacjach (np. pandemii, powodzi czy innych nieprzewidywalnych z</w:t>
            </w:r>
            <w:r>
              <w:rPr>
                <w:rFonts w:ascii="Times New Roman" w:eastAsia="Calibri" w:hAnsi="Times New Roman" w:cs="Times New Roman"/>
              </w:rPr>
              <w:t>darzeń) co jest możliwe tylko w </w:t>
            </w:r>
            <w:r w:rsidRPr="003967BA">
              <w:rPr>
                <w:rFonts w:ascii="Times New Roman" w:eastAsia="Calibri" w:hAnsi="Times New Roman" w:cs="Times New Roman"/>
              </w:rPr>
              <w:t xml:space="preserve">przypadku posiadania </w:t>
            </w:r>
            <w:r>
              <w:rPr>
                <w:rFonts w:ascii="Times New Roman" w:eastAsia="Calibri" w:hAnsi="Times New Roman" w:cs="Times New Roman"/>
              </w:rPr>
              <w:t>dostępu do danych źródłowych. W </w:t>
            </w:r>
            <w:r w:rsidRPr="003967BA">
              <w:rPr>
                <w:rFonts w:ascii="Times New Roman" w:eastAsia="Calibri" w:hAnsi="Times New Roman" w:cs="Times New Roman"/>
              </w:rPr>
              <w:t xml:space="preserve">takich sytuacjach Prezes GUS będzie uprawniony do występowania do organów i podmiotów wskazanych w art. 13 ust. 1 ustawy o statystce publicznej (tj. organów administracji publicznej, Zakładu Ubezpieczeń Społecznych, Narodowego Funduszu Zdrowia, a także innych państwowych lub samorządowych osób prawnych, organów rejestrowych oraz innych podmiotów prowadzących rejestry urzędowe lub systemy informacyjne administracji publicznej) o przekazanie lub udostępnienie służbom statystyki publicznej zgromadzonych danych jednostkowych identyfikowalnych, nieidentyfikowalnych lub zestawień statystycznych. W związku z koniecznością pomiarów gospodarczych i społecznych konsekwencji szczególnych zagrożeń, np. epidemii COVID-19, </w:t>
            </w:r>
            <w:r w:rsidRPr="003967BA">
              <w:rPr>
                <w:rFonts w:ascii="Times New Roman" w:eastAsia="Calibri" w:hAnsi="Times New Roman" w:cs="Times New Roman"/>
              </w:rPr>
              <w:lastRenderedPageBreak/>
              <w:t>oraz dostarczania również w takich sytuacjach oficjalnych danych, istnieje potrzeba wprowadzenia dodatkowego trybu przekazywania danych do GUS, tj. bez określenia w programie badań statystycznych statystyki publicznej danych, o których mowa w art. 13 ust. 1. Przekazane lub udostępnione służbom statystyki publicznej dane jednostkowe identyfikowalne podlegają ochronie określonej w art. 10 ustawy o statystyce publicznej. Proponowana zmiana umożliwi pozyskanie aktualnych informacji pozwalających na zbadanie na przykład zjawiska i wpływu subwencji pomocowych na stan finansowy i ekonomiczny podmiot</w:t>
            </w:r>
            <w:r>
              <w:rPr>
                <w:rFonts w:ascii="Times New Roman" w:eastAsia="Calibri" w:hAnsi="Times New Roman" w:cs="Times New Roman"/>
              </w:rPr>
              <w:t>ów gospodarczych, pracodawców i </w:t>
            </w:r>
            <w:r w:rsidRPr="003967BA">
              <w:rPr>
                <w:rFonts w:ascii="Times New Roman" w:eastAsia="Calibri" w:hAnsi="Times New Roman" w:cs="Times New Roman"/>
              </w:rPr>
              <w:t>pracowników w związku z zapobieganiem skutkom epidemii COVID-19 w Polsce.</w:t>
            </w:r>
          </w:p>
          <w:p w14:paraId="7BB23CBC" w14:textId="4D425E77" w:rsidR="003967BA" w:rsidRPr="003967BA" w:rsidRDefault="003967BA" w:rsidP="003967BA">
            <w:pPr>
              <w:numPr>
                <w:ilvl w:val="0"/>
                <w:numId w:val="1"/>
              </w:numPr>
              <w:ind w:left="406" w:hanging="42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967BA">
              <w:rPr>
                <w:rFonts w:ascii="Times New Roman" w:eastAsia="Calibri" w:hAnsi="Times New Roman" w:cs="Times New Roman"/>
              </w:rPr>
              <w:t>Projekt ustawy dokonuje nowelizacji szeregu ustaw wprowadzając zmiany będące konsekwencją uchylenia ustawy z 2016 </w:t>
            </w:r>
            <w:r>
              <w:rPr>
                <w:rFonts w:ascii="Times New Roman" w:eastAsia="Calibri" w:hAnsi="Times New Roman" w:cs="Times New Roman"/>
              </w:rPr>
              <w:t>r..</w:t>
            </w:r>
          </w:p>
          <w:p w14:paraId="0F58B958" w14:textId="77777777" w:rsidR="00501053" w:rsidRDefault="00501053" w:rsidP="00A02B08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eastAsia="Calibri" w:hAnsi="Times New Roman" w:cs="Times New Roman"/>
              </w:rPr>
            </w:pPr>
          </w:p>
          <w:p w14:paraId="51DA8499" w14:textId="77777777" w:rsidR="00501053" w:rsidRPr="00A27025" w:rsidRDefault="00501053" w:rsidP="00A06FE4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501053" w:rsidRPr="00A27025" w14:paraId="4564919B" w14:textId="77777777" w:rsidTr="00616E86">
        <w:tc>
          <w:tcPr>
            <w:tcW w:w="1413" w:type="dxa"/>
          </w:tcPr>
          <w:p w14:paraId="5FA37DDA" w14:textId="77777777" w:rsidR="00501053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  <w:r w:rsidRPr="0020590B">
              <w:rPr>
                <w:rFonts w:ascii="Times New Roman" w:hAnsi="Times New Roman" w:cs="Times New Roman"/>
                <w:lang w:val="en-US"/>
              </w:rPr>
              <w:lastRenderedPageBreak/>
              <w:t>Art. 4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  <w:p w14:paraId="1AF1DB67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290" w:type="dxa"/>
            <w:gridSpan w:val="2"/>
          </w:tcPr>
          <w:p w14:paraId="42D9AC0E" w14:textId="77777777" w:rsidR="00501053" w:rsidRPr="00501053" w:rsidRDefault="00501053" w:rsidP="00501053">
            <w:pPr>
              <w:pStyle w:val="ARTartustawynprozporzdzenia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49.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 W ustawie z dnia 29 czerwca 1995 r. o statystyce publicznej (Dz. U. z 2020 r. poz. 443 i 1486) wprowadza się następujące zmiany:</w:t>
            </w:r>
          </w:p>
          <w:p w14:paraId="33AA5C58" w14:textId="77777777" w:rsidR="00501053" w:rsidRPr="00501053" w:rsidRDefault="00501053" w:rsidP="00501053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 xml:space="preserve"> 1) w art. 2 ustawy po pkt 15 dodaje się pkt 16 w brzmieniu:</w:t>
            </w:r>
          </w:p>
          <w:p w14:paraId="29A56BD8" w14:textId="77777777" w:rsidR="00501053" w:rsidRPr="00501053" w:rsidRDefault="00501053" w:rsidP="00501053">
            <w:pPr>
              <w:pStyle w:val="ZPKTzmpktartykuempunktem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„16) informacja sektora publicznego – informacja w rozumieniu art. 2 pkt 8 ustawy z dnia … o otwartych danych i ponownym wykorzystywaniu informacji sektora publicznego (Dz. U. poz. …)”;</w:t>
            </w:r>
          </w:p>
          <w:p w14:paraId="4A270912" w14:textId="77777777" w:rsidR="00501053" w:rsidRPr="00501053" w:rsidRDefault="00501053" w:rsidP="00501053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2) w art. 13 po ust. 1 dodaje się ust. 1a w brzmieniu:</w:t>
            </w:r>
          </w:p>
          <w:p w14:paraId="5693DBF1" w14:textId="77777777" w:rsidR="00501053" w:rsidRPr="00501053" w:rsidRDefault="00501053" w:rsidP="00501053">
            <w:pPr>
              <w:pStyle w:val="ZUSTzmustartykuempunktem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„1a. W sytuacjach potrzeby przeprowadzenia opracowań, analiz i wyników obliczeń na podstawie informacji sektora publicznego niedostępnych w trybie określonym w ust. 1, Prezes Głównego Urzędu Statystycznego jest uprawniony do występowania do organów i podmiotów, o których mowa w ust. 1, o przekazanie lub udostępnienie nieodpłatnie służbom statystyki publicznej zgromadzonych danych jednostkowych identyfikowalnych, w tym danych osobowych zawierających się w katalogu danych, o których mowa w art. 35b ust. 1,  nieidentyfikowalnych lub zestawień zbiorczych.”;</w:t>
            </w:r>
          </w:p>
          <w:p w14:paraId="016995AE" w14:textId="77777777" w:rsidR="00501053" w:rsidRPr="00501053" w:rsidRDefault="00501053" w:rsidP="00501053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ab/>
              <w:t>w art. 49a wyrazy „ustawy z dnia 25 lutego 2016 r. o ponownym wykorzystywaniu informacji sektora publicznego (Dz. U. z 2019 r. poz. 1446)” zastępuje się wyrazami „ustawy z dnia … o otwartych danych i ponownym wykorzystywaniu informacji sektora publicznego”.</w:t>
            </w:r>
          </w:p>
          <w:p w14:paraId="4B7AC1B4" w14:textId="77777777" w:rsidR="00501053" w:rsidRPr="00501053" w:rsidRDefault="00501053" w:rsidP="00501053">
            <w:pPr>
              <w:pStyle w:val="ARTartustawynprozporzdzenia"/>
              <w:spacing w:before="0" w:line="240" w:lineRule="auto"/>
              <w:ind w:firstLine="0"/>
              <w:jc w:val="left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91" w:type="dxa"/>
            <w:vMerge/>
          </w:tcPr>
          <w:p w14:paraId="3F65F493" w14:textId="77777777" w:rsidR="00501053" w:rsidRDefault="00501053" w:rsidP="00A02B08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01053" w:rsidRPr="00A27025" w14:paraId="45471101" w14:textId="77777777" w:rsidTr="00616E86">
        <w:tc>
          <w:tcPr>
            <w:tcW w:w="1413" w:type="dxa"/>
          </w:tcPr>
          <w:p w14:paraId="380E22C9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  <w:r w:rsidRPr="0020590B">
              <w:rPr>
                <w:rFonts w:ascii="Times New Roman" w:hAnsi="Times New Roman" w:cs="Times New Roman"/>
                <w:lang w:val="en-US"/>
              </w:rPr>
              <w:t xml:space="preserve">Art. </w:t>
            </w: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  <w:p w14:paraId="27625626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290" w:type="dxa"/>
            <w:gridSpan w:val="2"/>
          </w:tcPr>
          <w:p w14:paraId="729F4715" w14:textId="77777777" w:rsidR="00501053" w:rsidRPr="00501053" w:rsidRDefault="00501053" w:rsidP="00501053">
            <w:pPr>
              <w:pStyle w:val="ARTartustawynprozporzdzenia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50.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 W ustawie z dnia 21 listopada 1996 r. o muzeach (Dz. U. z 2020 r. poz. 902) w art. 25 ust. 4 wyrazy „ustawy z dnia 25 lutego 2016 r. o ponownym wykorzystywaniu informacji sektora publicznego (Dz. U. z 2018 r. poz. 1243 i 1669) zastępuje się wyrazami „ustawy z dnia … o otwartych danych i ponownym wykorzystywaniu informacji sektora publicznego (Dz. U. poz. …)”.</w:t>
            </w:r>
          </w:p>
          <w:p w14:paraId="028FCA9F" w14:textId="77777777" w:rsidR="00501053" w:rsidRPr="00501053" w:rsidRDefault="00501053" w:rsidP="00501053">
            <w:pPr>
              <w:pStyle w:val="ARTartustawynprozporzdzenia"/>
              <w:spacing w:before="0" w:line="240" w:lineRule="auto"/>
              <w:ind w:firstLine="0"/>
              <w:jc w:val="left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91" w:type="dxa"/>
            <w:vMerge/>
          </w:tcPr>
          <w:p w14:paraId="615CEEEE" w14:textId="77777777" w:rsidR="00501053" w:rsidRDefault="00501053" w:rsidP="00A02B08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01053" w:rsidRPr="00A27025" w14:paraId="5CF093EA" w14:textId="77777777" w:rsidTr="00616E86">
        <w:tc>
          <w:tcPr>
            <w:tcW w:w="1413" w:type="dxa"/>
          </w:tcPr>
          <w:p w14:paraId="56579E0B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  <w:r w:rsidRPr="0020590B">
              <w:rPr>
                <w:rFonts w:ascii="Times New Roman" w:hAnsi="Times New Roman" w:cs="Times New Roman"/>
                <w:lang w:val="en-US"/>
              </w:rPr>
              <w:lastRenderedPageBreak/>
              <w:t xml:space="preserve">Art. </w:t>
            </w:r>
            <w:r>
              <w:rPr>
                <w:rFonts w:ascii="Times New Roman" w:hAnsi="Times New Roman" w:cs="Times New Roman"/>
                <w:lang w:val="en-US"/>
              </w:rPr>
              <w:t>51</w:t>
            </w:r>
          </w:p>
          <w:p w14:paraId="32FEB99E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290" w:type="dxa"/>
            <w:gridSpan w:val="2"/>
          </w:tcPr>
          <w:p w14:paraId="09B1E070" w14:textId="77777777" w:rsidR="00501053" w:rsidRPr="00501053" w:rsidRDefault="00501053" w:rsidP="00501053">
            <w:pPr>
              <w:pStyle w:val="ARTartustawynprozporzdzenia"/>
              <w:keepNext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51.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 W ustawie z dnia 20 czerwca 1997 r. – Prawo o ruchu drogowym (Dz. U. z 2020 r. poz. 110, 284, 568, 695, 1087 i 1517) wprowadza się następujące zmiany:</w:t>
            </w:r>
          </w:p>
          <w:p w14:paraId="07FBE396" w14:textId="77777777" w:rsidR="00501053" w:rsidRPr="00501053" w:rsidRDefault="00501053" w:rsidP="00501053">
            <w:pPr>
              <w:pStyle w:val="ZPKTzmpktartykuempunktem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ab/>
              <w:t>w art. 80ce ust. 1 wyrazy „ustawy z dnia 25 lutego 2016 r. o ponownym wykorzystywaniu informacji sektora publicznego (Dz. U. z 2019 r. poz. 1446)” zastępuje się wyrazami „ustawy z dnia … o otwartych danych i ponownym wykorzystywaniu informacji sektora publicznego (Dz. U. poz. …)”;</w:t>
            </w:r>
          </w:p>
          <w:p w14:paraId="6556AA80" w14:textId="77777777" w:rsidR="00501053" w:rsidRPr="00501053" w:rsidRDefault="00501053" w:rsidP="00501053">
            <w:pPr>
              <w:pStyle w:val="ZPKTzmpktartykuempunktem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ab/>
              <w:t>w art. 100am ust. 1 wyrazy „ustawy z dnia 25 lutego 2016 r. o ponownym wykorzystywaniu informacji sektora publicznego” zastępuje się wyrazami „ustawy z dnia … o otwartych danych i ponownym wykorzystywaniu informacji sektora publicznego”.</w:t>
            </w:r>
          </w:p>
          <w:p w14:paraId="7123B138" w14:textId="77777777" w:rsidR="00501053" w:rsidRPr="00501053" w:rsidRDefault="00501053" w:rsidP="00501053">
            <w:pPr>
              <w:pStyle w:val="ARTartustawynprozporzdzenia"/>
              <w:spacing w:before="0" w:line="240" w:lineRule="auto"/>
              <w:ind w:firstLine="0"/>
              <w:jc w:val="left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91" w:type="dxa"/>
            <w:vMerge/>
          </w:tcPr>
          <w:p w14:paraId="0152B4D9" w14:textId="77777777" w:rsidR="00501053" w:rsidRDefault="00501053" w:rsidP="00A02B08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01053" w:rsidRPr="00A27025" w14:paraId="76ABB62E" w14:textId="77777777" w:rsidTr="00616E86">
        <w:tc>
          <w:tcPr>
            <w:tcW w:w="1413" w:type="dxa"/>
          </w:tcPr>
          <w:p w14:paraId="57C7B252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Art. 52</w:t>
            </w:r>
          </w:p>
          <w:p w14:paraId="6ABEC423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290" w:type="dxa"/>
            <w:gridSpan w:val="2"/>
          </w:tcPr>
          <w:p w14:paraId="719BB2CB" w14:textId="77777777" w:rsidR="00501053" w:rsidRPr="00501053" w:rsidRDefault="00501053" w:rsidP="00501053">
            <w:pPr>
              <w:pStyle w:val="ARTartustawynprozporzdzenia"/>
              <w:keepNext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52.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 xml:space="preserve"> W ustawie z dnia 20 sierpnia 1997 r. o Krajowym Rejestrze Sądowym (Dz. U. z 2019 r. poz. 1500, 1655 i 1798 oraz z 2020 r. poz. 288) po art. 4a dodaje się art. 4b w brzmieniu:</w:t>
            </w:r>
          </w:p>
          <w:p w14:paraId="7D270CF4" w14:textId="77777777" w:rsidR="00501053" w:rsidRPr="00501053" w:rsidRDefault="00501053" w:rsidP="00501053">
            <w:pPr>
              <w:pStyle w:val="ZARTzmartartykuempunktem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„Art. 4b. 1. Dane i informacje o podmiotach wpisanych do Rejestru są przekazywane w celu ponownego wykorzystywania, z zachowaniem przepisów ustawy z dnia … o otwartych danych i ponownym wykorzystywaniu informacji sektora publicznego (Dz. U. poz. …), jeżeli przepisy ustawy nie stanowią inaczej.</w:t>
            </w:r>
          </w:p>
          <w:p w14:paraId="5E28EC8B" w14:textId="77777777" w:rsidR="00501053" w:rsidRPr="00501053" w:rsidRDefault="00501053" w:rsidP="00501053">
            <w:pPr>
              <w:pStyle w:val="ZARTzmartartykuempunktem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2. Centralna Informacja przekazuje, za pośrednictwem systemu teleinformatycznego, dane i informacje o podmiotach wpisanych do Rejestru w celu ponownego wykorzystywania na wniosek złożony w postaci elektronicznej opatrzonej kwalifikowanym podpisem elektronicznym, podpisem zaufanym albo podpisem osobistym. Dane zgromadzone w Rejestrze udostępnia się w celu ponownego wykorzystywania także za pośrednictwem interfejsu programistyczny aplikacji (API).</w:t>
            </w:r>
          </w:p>
          <w:p w14:paraId="63076CBB" w14:textId="77777777" w:rsidR="00501053" w:rsidRPr="00501053" w:rsidRDefault="00501053" w:rsidP="00501053">
            <w:pPr>
              <w:pStyle w:val="ZARTzmartartykuempunktem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 xml:space="preserve">3. Minister Sprawiedliwości określi, w drodze rozporządzenia, wzór wniosku, o którym mowa w art. 4b ust. 2, 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kierując się potrzebami usprawnienia procesu udostępniania i przekazywania danych i informacji o podmiotach wpisanych do Rejestru.</w:t>
            </w:r>
          </w:p>
          <w:p w14:paraId="337757A5" w14:textId="65A797F1" w:rsidR="00501053" w:rsidRPr="003967BA" w:rsidRDefault="00501053" w:rsidP="003967BA">
            <w:pPr>
              <w:pStyle w:val="ZARTzmartartykuempunktem"/>
              <w:spacing w:line="240" w:lineRule="auto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4. Minister Sprawiedliwości określi, w drodze rozporządzenia, rodzaj oraz zakres danych i informacji z Rejestru, udostępnianych na podstawie niniejszego artykułu, uwzględniając konieczność zapewnienia bezpieczeństwa danych przetwarzanych w Rejestrze i ich ochrony przed nieuprawnionym dostępem, przetwarzaniem, zmianą lub utratą.”</w:t>
            </w:r>
            <w:r w:rsidR="003967B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291" w:type="dxa"/>
            <w:vMerge/>
          </w:tcPr>
          <w:p w14:paraId="046A221F" w14:textId="77777777" w:rsidR="00501053" w:rsidRDefault="00501053" w:rsidP="00A02B08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01053" w:rsidRPr="00A27025" w14:paraId="327F3C60" w14:textId="77777777" w:rsidTr="00616E86">
        <w:tc>
          <w:tcPr>
            <w:tcW w:w="1413" w:type="dxa"/>
          </w:tcPr>
          <w:p w14:paraId="0E82F652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  <w:r w:rsidRPr="0020590B">
              <w:rPr>
                <w:rFonts w:ascii="Times New Roman" w:hAnsi="Times New Roman" w:cs="Times New Roman"/>
                <w:lang w:val="en-US"/>
              </w:rPr>
              <w:lastRenderedPageBreak/>
              <w:t xml:space="preserve">Art. </w:t>
            </w:r>
            <w:r>
              <w:rPr>
                <w:rFonts w:ascii="Times New Roman" w:hAnsi="Times New Roman" w:cs="Times New Roman"/>
                <w:lang w:val="en-US"/>
              </w:rPr>
              <w:t>53</w:t>
            </w:r>
          </w:p>
          <w:p w14:paraId="3671F8F9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290" w:type="dxa"/>
            <w:gridSpan w:val="2"/>
          </w:tcPr>
          <w:p w14:paraId="16520E01" w14:textId="076AA0DF" w:rsidR="00501053" w:rsidRPr="00501053" w:rsidRDefault="00501053" w:rsidP="003967BA">
            <w:pPr>
              <w:pStyle w:val="ARTartustawynprozporzdzenia"/>
              <w:keepNext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967BA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53.</w:t>
            </w:r>
            <w:r w:rsidR="003967BA">
              <w:rPr>
                <w:rFonts w:ascii="Times New Roman" w:hAnsi="Times New Roman" w:cs="Times New Roman"/>
                <w:sz w:val="22"/>
                <w:szCs w:val="22"/>
              </w:rPr>
              <w:t xml:space="preserve"> W 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ustawie z dnia 6 września 2001 r. o dostępie do informacji publicznej (Dz. U. z  2020 r. poz. 2176) wprowadza się następujące zmiany:</w:t>
            </w:r>
          </w:p>
          <w:p w14:paraId="64EFEE0A" w14:textId="77777777" w:rsidR="00501053" w:rsidRPr="00501053" w:rsidRDefault="00501053" w:rsidP="00501053">
            <w:pPr>
              <w:pStyle w:val="PKTpunkt"/>
              <w:keepNext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ab/>
              <w:t>w art. 1 ust. 2 otrzymuje brzmienie:</w:t>
            </w:r>
          </w:p>
          <w:p w14:paraId="638BDFE1" w14:textId="77777777" w:rsidR="00501053" w:rsidRPr="00501053" w:rsidRDefault="00501053" w:rsidP="00501053">
            <w:pPr>
              <w:pStyle w:val="ZUSTzmustartykuempunktem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 xml:space="preserve">„2. Przepisy ustawy nie naruszają przepisów innych ustaw określających odmienne zasady i tryb dostępu do informacji będących informacjami publicznymi.”; </w:t>
            </w:r>
          </w:p>
          <w:p w14:paraId="0818AA4F" w14:textId="77777777" w:rsidR="00501053" w:rsidRPr="00501053" w:rsidRDefault="00501053" w:rsidP="00501053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ab/>
              <w:t>użyte w art. 7 ust. 1 pkt 4, w art. 9 ust. 1 pkt 3 oraz w art. 10 ust. 1 w różnym przypadku wyrazy „centralne repozytorium” zastępuje się użytymi w odpowiednim przypadku wyrazami „portal danych”;</w:t>
            </w:r>
          </w:p>
          <w:p w14:paraId="354A5DEF" w14:textId="77777777" w:rsidR="00501053" w:rsidRPr="00501053" w:rsidRDefault="00501053" w:rsidP="00501053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ab/>
              <w:t>uchyla się art. 1 ust. 3 oraz art. 9a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softHyphen/>
              <w:t>–9e.</w:t>
            </w:r>
          </w:p>
          <w:p w14:paraId="4D693FAC" w14:textId="77777777" w:rsidR="00501053" w:rsidRPr="00501053" w:rsidRDefault="00501053" w:rsidP="00501053">
            <w:pPr>
              <w:pStyle w:val="ARTartustawynprozporzdzenia"/>
              <w:spacing w:before="0" w:line="240" w:lineRule="auto"/>
              <w:ind w:firstLine="0"/>
              <w:jc w:val="left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91" w:type="dxa"/>
            <w:vMerge/>
          </w:tcPr>
          <w:p w14:paraId="59BC93CE" w14:textId="77777777" w:rsidR="00501053" w:rsidRDefault="00501053" w:rsidP="00A02B08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01053" w:rsidRPr="00A27025" w14:paraId="111ABF05" w14:textId="77777777" w:rsidTr="00616E86">
        <w:tc>
          <w:tcPr>
            <w:tcW w:w="1413" w:type="dxa"/>
          </w:tcPr>
          <w:p w14:paraId="1081A10D" w14:textId="77777777" w:rsidR="00501053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  <w:r w:rsidRPr="0020590B">
              <w:rPr>
                <w:rFonts w:ascii="Times New Roman" w:hAnsi="Times New Roman" w:cs="Times New Roman"/>
                <w:lang w:val="en-US"/>
              </w:rPr>
              <w:t>Ar</w:t>
            </w:r>
            <w:r>
              <w:rPr>
                <w:rFonts w:ascii="Times New Roman" w:hAnsi="Times New Roman" w:cs="Times New Roman"/>
                <w:lang w:val="en-GB"/>
              </w:rPr>
              <w:t xml:space="preserve">t. </w:t>
            </w:r>
            <w:r w:rsidRPr="0020590B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  <w:p w14:paraId="6E9DFC42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290" w:type="dxa"/>
            <w:gridSpan w:val="2"/>
          </w:tcPr>
          <w:p w14:paraId="552A9D4B" w14:textId="77777777" w:rsidR="00501053" w:rsidRPr="00501053" w:rsidRDefault="00501053" w:rsidP="003967BA">
            <w:pPr>
              <w:pStyle w:val="ARTartustawynprozporzdzenia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967BA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54.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 W ustawie z dnia 17 lutego 2005 r. o informatyzacji działalności podmiotów realizujących zadania publiczne (Dz. U. z 2020 r. poz. 346, 568, 695 i 1517) w art. 15 ust. 4 wyrazy „ustawie z dnia 25 lutego 2016 r. o ponownym wykorzystywaniu informacji sektora publicznego (Dz. U. z 2019 r. poz. 1446)” zastępuje się wyrazami „ustawie z dnia … o otwartych danych i ponownym wykorzystywaniu informacji sektora publicznego (Dz. U. poz. …)”.</w:t>
            </w:r>
          </w:p>
          <w:p w14:paraId="3DE36D55" w14:textId="77777777" w:rsidR="00501053" w:rsidRPr="00501053" w:rsidRDefault="00501053" w:rsidP="00501053">
            <w:pPr>
              <w:pStyle w:val="ARTartustawynprozporzdzenia"/>
              <w:spacing w:before="0" w:line="240" w:lineRule="auto"/>
              <w:ind w:firstLine="0"/>
              <w:jc w:val="left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91" w:type="dxa"/>
            <w:vMerge/>
          </w:tcPr>
          <w:p w14:paraId="58E62B5F" w14:textId="77777777" w:rsidR="00501053" w:rsidRDefault="00501053" w:rsidP="00A02B08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01053" w:rsidRPr="00A27025" w14:paraId="6900D6BD" w14:textId="77777777" w:rsidTr="00616E86">
        <w:tc>
          <w:tcPr>
            <w:tcW w:w="1413" w:type="dxa"/>
          </w:tcPr>
          <w:p w14:paraId="646088A6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  <w:r w:rsidRPr="0020590B">
              <w:rPr>
                <w:rFonts w:ascii="Times New Roman" w:hAnsi="Times New Roman" w:cs="Times New Roman"/>
                <w:lang w:val="en-US"/>
              </w:rPr>
              <w:t xml:space="preserve">Art. </w:t>
            </w: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  <w:p w14:paraId="756619C6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290" w:type="dxa"/>
            <w:gridSpan w:val="2"/>
          </w:tcPr>
          <w:p w14:paraId="07A53686" w14:textId="77777777" w:rsidR="00501053" w:rsidRPr="00501053" w:rsidRDefault="00501053" w:rsidP="003967BA">
            <w:pPr>
              <w:pStyle w:val="ARTartustawynprozporzdzenia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967BA">
              <w:rPr>
                <w:rFonts w:ascii="Times New Roman" w:hAnsi="Times New Roman" w:cs="Times New Roman"/>
                <w:sz w:val="22"/>
                <w:szCs w:val="22"/>
              </w:rPr>
              <w:t>Art. 55.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 xml:space="preserve"> W ustawie z dnia z dnia 8 września 2006 r. o Państwowym Ratownictwie Medycznym (Dz. U. z 2020 r. poz. 882 i 2112) wprowadza się następujące zmiany:</w:t>
            </w:r>
          </w:p>
          <w:p w14:paraId="682955F8" w14:textId="77777777" w:rsidR="00501053" w:rsidRPr="00501053" w:rsidRDefault="00501053" w:rsidP="00501053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1)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ab/>
              <w:t>w art. 21 ust. 16a wyrazy „ustawy z dnia 25 lutego 2016 r. o ponownym wykorzystywaniu informacji sektora publicznego (Dz. U. z 2019 r. poz. 1446)” zastępuje się wyrazami „ustawy z dnia … o otwartych danych i ponownym wykorzystywaniu informacji sektora publicznego (Dz. U. poz. …)” oraz wyraz „udostępnieniu” zastępuje się wyrazem „udostępnianiu”;</w:t>
            </w:r>
          </w:p>
          <w:p w14:paraId="14D3FA24" w14:textId="77777777" w:rsidR="00501053" w:rsidRPr="00501053" w:rsidRDefault="00501053" w:rsidP="00501053">
            <w:pPr>
              <w:pStyle w:val="ARTartustawynprozporzdzenia"/>
              <w:keepNext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ab/>
              <w:t>w art. 25a ust. 4 wyrazy „ustawy z dnia 25 lutego 2016 r. o ponownym wykorzystywaniu informacji sektora publicznego (Dz. U. z 2019 r. poz. 1446)” zastępuje się wyrazami „ustawy z dnia … o otwartych danych i ponownym wykorzystywaniu informacji sektora publicznego (Dz. U. poz. …)” oraz wyraz „udostępnieniu” zastępuje się wyrazem „udostępnianiu”.</w:t>
            </w:r>
          </w:p>
          <w:p w14:paraId="68F7A841" w14:textId="77777777" w:rsidR="00501053" w:rsidRPr="00501053" w:rsidRDefault="00501053" w:rsidP="00501053">
            <w:pPr>
              <w:pStyle w:val="ARTartustawynprozporzdzenia"/>
              <w:spacing w:before="0" w:line="240" w:lineRule="auto"/>
              <w:ind w:firstLine="0"/>
              <w:jc w:val="left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91" w:type="dxa"/>
            <w:vMerge/>
          </w:tcPr>
          <w:p w14:paraId="7FFEB208" w14:textId="77777777" w:rsidR="00501053" w:rsidRDefault="00501053" w:rsidP="00A02B08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01053" w:rsidRPr="00A27025" w14:paraId="4F330A8C" w14:textId="77777777" w:rsidTr="00616E86">
        <w:tc>
          <w:tcPr>
            <w:tcW w:w="1413" w:type="dxa"/>
          </w:tcPr>
          <w:p w14:paraId="5A04E76B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  <w:r w:rsidRPr="0020590B">
              <w:rPr>
                <w:rFonts w:ascii="Times New Roman" w:hAnsi="Times New Roman" w:cs="Times New Roman"/>
                <w:lang w:val="en-US"/>
              </w:rPr>
              <w:lastRenderedPageBreak/>
              <w:t xml:space="preserve">Art. </w:t>
            </w:r>
            <w:r>
              <w:rPr>
                <w:rFonts w:ascii="Times New Roman" w:hAnsi="Times New Roman" w:cs="Times New Roman"/>
                <w:lang w:val="en-US"/>
              </w:rPr>
              <w:t>56</w:t>
            </w:r>
          </w:p>
          <w:p w14:paraId="57B03499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290" w:type="dxa"/>
            <w:gridSpan w:val="2"/>
          </w:tcPr>
          <w:p w14:paraId="015FCE97" w14:textId="77777777" w:rsidR="00501053" w:rsidRPr="00501053" w:rsidRDefault="00501053" w:rsidP="003967BA">
            <w:pPr>
              <w:pStyle w:val="ARTartustawynprozporzdzenia"/>
              <w:keepNext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967BA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56.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 W ustawie z dnia 24 września 2010 r. o ewidencji ludności (Dz. U. z 2019 r. poz. 1397 i 2294 oraz z 2020 r. poz. 695) w art. 46 ust. 3 wyrazy „ustawie z dnia 25 lutego 2016 r. o ponownym wykorzystywaniu informacji sektora publicznego (Dz. U. z 2018 r. poz. 1243 i 1669 oraz z 2019 r. poz. 730)” zastępuje się wyrazami „ustawie z dnia … o otwartych danych i ponownym wykorzystywaniu informacji sektora publicznego (Dz. U. poz. …)”.</w:t>
            </w:r>
          </w:p>
          <w:p w14:paraId="1DDEAF9F" w14:textId="77777777" w:rsidR="00501053" w:rsidRPr="00501053" w:rsidRDefault="00501053" w:rsidP="00501053">
            <w:pPr>
              <w:pStyle w:val="ARTartustawynprozporzdzenia"/>
              <w:spacing w:before="0" w:line="240" w:lineRule="auto"/>
              <w:ind w:firstLine="0"/>
              <w:jc w:val="left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91" w:type="dxa"/>
            <w:vMerge/>
          </w:tcPr>
          <w:p w14:paraId="030418AB" w14:textId="77777777" w:rsidR="00501053" w:rsidRDefault="00501053" w:rsidP="00A02B08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01053" w:rsidRPr="00A27025" w14:paraId="132FA6D5" w14:textId="77777777" w:rsidTr="00616E86">
        <w:tc>
          <w:tcPr>
            <w:tcW w:w="1413" w:type="dxa"/>
          </w:tcPr>
          <w:p w14:paraId="7EF425B8" w14:textId="77777777" w:rsidR="00501053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  <w:r w:rsidRPr="0020590B">
              <w:rPr>
                <w:rFonts w:ascii="Times New Roman" w:hAnsi="Times New Roman" w:cs="Times New Roman"/>
                <w:lang w:val="en-US"/>
              </w:rPr>
              <w:t>Art. 5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  <w:p w14:paraId="04F41305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290" w:type="dxa"/>
            <w:gridSpan w:val="2"/>
          </w:tcPr>
          <w:p w14:paraId="0423C760" w14:textId="77777777" w:rsidR="00501053" w:rsidRPr="00501053" w:rsidRDefault="00501053" w:rsidP="003967BA">
            <w:pPr>
              <w:pStyle w:val="ARTartustawynprozporzdzenia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967BA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57.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 xml:space="preserve"> W ustawie z dnia 20 lipca 2017 r. – Prawo wodne (Dz. U. z 2020 r. poz. 310, 695, 782 i 875 i 1378) wprowadza się następujące zmiany: </w:t>
            </w:r>
          </w:p>
          <w:p w14:paraId="6BA46F49" w14:textId="77777777" w:rsidR="00501053" w:rsidRPr="00501053" w:rsidRDefault="00501053" w:rsidP="00501053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ab/>
              <w:t>w art. 385 po ust. 5 dodaje się ust. 6 w brzmieniu:</w:t>
            </w:r>
          </w:p>
          <w:p w14:paraId="1E4E3351" w14:textId="77777777" w:rsidR="00501053" w:rsidRPr="00501053" w:rsidRDefault="00501053" w:rsidP="00501053">
            <w:pPr>
              <w:pStyle w:val="ZUSTzmustartykuempunktem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„6. Przepisu ust. 5 nie stosuje się do informacji stanowiących dane o wysokiej wartości określonych w przepisach wydanych na podstawie art. 27 ustawy z dnia… o otwartych danych i ponownym wykorzystywaniu informacji sektora publicznego (Dz. U. poz…)”</w:t>
            </w:r>
          </w:p>
          <w:p w14:paraId="39135E34" w14:textId="77777777" w:rsidR="00501053" w:rsidRPr="00501053" w:rsidRDefault="00501053" w:rsidP="00501053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ab/>
              <w:t>w art. 386 ust. 3 wyrazy „ustawy z dnia 25 lutego 2016 r. o ponownym wykorzystywaniu informacji sektora publicznego (Dz. U. z 2019 r. poz. 1446)” zastępuje się wyrazami „ustawy z dnia … o otwartych danych i ponownym wykorzystywaniu informacji sektora publicznego”.</w:t>
            </w:r>
          </w:p>
          <w:p w14:paraId="228A6695" w14:textId="77777777" w:rsidR="00501053" w:rsidRPr="00501053" w:rsidRDefault="00501053" w:rsidP="00501053">
            <w:pPr>
              <w:pStyle w:val="ARTartustawynprozporzdzenia"/>
              <w:spacing w:before="0" w:line="240" w:lineRule="auto"/>
              <w:ind w:firstLine="0"/>
              <w:jc w:val="left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91" w:type="dxa"/>
            <w:vMerge/>
          </w:tcPr>
          <w:p w14:paraId="328E2BB6" w14:textId="77777777" w:rsidR="00501053" w:rsidRDefault="00501053" w:rsidP="00A02B08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01053" w:rsidRPr="00A27025" w14:paraId="7690F143" w14:textId="77777777" w:rsidTr="00616E86">
        <w:tc>
          <w:tcPr>
            <w:tcW w:w="1413" w:type="dxa"/>
          </w:tcPr>
          <w:p w14:paraId="4DCCCC7E" w14:textId="77777777" w:rsidR="00501053" w:rsidRPr="00501053" w:rsidRDefault="00501053" w:rsidP="00501053">
            <w:pPr>
              <w:rPr>
                <w:rFonts w:ascii="Times New Roman" w:hAnsi="Times New Roman" w:cs="Times New Roman"/>
                <w:lang w:val="en-GB"/>
              </w:rPr>
            </w:pPr>
            <w:r w:rsidRPr="00501053">
              <w:rPr>
                <w:rFonts w:ascii="Times New Roman" w:hAnsi="Times New Roman" w:cs="Times New Roman"/>
                <w:lang w:val="en-GB"/>
              </w:rPr>
              <w:lastRenderedPageBreak/>
              <w:t>Art. 58</w:t>
            </w:r>
          </w:p>
          <w:p w14:paraId="7AF4E2E6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290" w:type="dxa"/>
            <w:gridSpan w:val="2"/>
          </w:tcPr>
          <w:p w14:paraId="3DCF79CF" w14:textId="77777777" w:rsidR="00501053" w:rsidRPr="00501053" w:rsidRDefault="00501053" w:rsidP="003967BA">
            <w:pPr>
              <w:pStyle w:val="ARTartustawynprozporzdzenia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967BA">
              <w:rPr>
                <w:rFonts w:ascii="Times New Roman" w:hAnsi="Times New Roman" w:cs="Times New Roman"/>
                <w:sz w:val="22"/>
                <w:szCs w:val="22"/>
              </w:rPr>
              <w:t>Art. 58.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 xml:space="preserve"> W ustawie z dnia 24 listopada 2017 r. o imprezach turystycznych i powiązanych usługach turystycznych (Dz. U. z 2020 r., poz. 2139) w art. 29 ust. 6 wyrazy „ustawy z dnia 25 lutego 2016 r. o ponownym wykorzystywaniu informacji sektora publicznego (Dz. U. z 2019 r. poz. 1446)” zastępuje się wyrazami „ustawy z dnia … o otwartych danych i ponownym wykorzystywaniu informacji sektora publicznego (Dz. U. poz. …)”.</w:t>
            </w:r>
          </w:p>
          <w:p w14:paraId="1FB181F3" w14:textId="77777777" w:rsidR="00501053" w:rsidRPr="00501053" w:rsidRDefault="00501053" w:rsidP="00501053">
            <w:pPr>
              <w:pStyle w:val="ARTartustawynprozporzdzenia"/>
              <w:spacing w:before="0" w:line="240" w:lineRule="auto"/>
              <w:ind w:firstLine="0"/>
              <w:jc w:val="left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91" w:type="dxa"/>
            <w:vMerge/>
          </w:tcPr>
          <w:p w14:paraId="77D30C6F" w14:textId="77777777" w:rsidR="00501053" w:rsidRDefault="00501053" w:rsidP="00A02B08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01053" w:rsidRPr="00A27025" w14:paraId="0D99EB4F" w14:textId="77777777" w:rsidTr="00616E86">
        <w:tc>
          <w:tcPr>
            <w:tcW w:w="1413" w:type="dxa"/>
          </w:tcPr>
          <w:p w14:paraId="6B3847E5" w14:textId="77777777" w:rsidR="00501053" w:rsidRDefault="00501053" w:rsidP="005010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Art. 59</w:t>
            </w:r>
          </w:p>
          <w:p w14:paraId="07EED5AE" w14:textId="77777777" w:rsidR="00501053" w:rsidRDefault="00501053" w:rsidP="00501053">
            <w:pPr>
              <w:rPr>
                <w:rFonts w:ascii="Times New Roman" w:hAnsi="Times New Roman" w:cs="Times New Roman"/>
              </w:rPr>
            </w:pPr>
          </w:p>
          <w:p w14:paraId="5F268DE5" w14:textId="77777777" w:rsidR="00501053" w:rsidRPr="0020590B" w:rsidRDefault="00501053" w:rsidP="0050105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290" w:type="dxa"/>
            <w:gridSpan w:val="2"/>
          </w:tcPr>
          <w:p w14:paraId="4458E492" w14:textId="77777777" w:rsidR="00501053" w:rsidRPr="00501053" w:rsidRDefault="00501053" w:rsidP="003967BA">
            <w:pPr>
              <w:pStyle w:val="ARTartustawynprozporzdzenia"/>
              <w:keepNext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967BA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59.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 W ustawie z dnia 6 marca 2018 r. o Centralnej Ewidencji i Informacji o Działalności Gospodarczej i Punkcie Informacji dla Przedsiębiorcy (Dz. U. z 2019 r. poz. 1291, 1495 i 1649) wprowadza się następujące zmiany:</w:t>
            </w:r>
          </w:p>
          <w:p w14:paraId="21459DCA" w14:textId="77777777" w:rsidR="00501053" w:rsidRPr="00501053" w:rsidRDefault="00501053" w:rsidP="00501053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ab/>
              <w:t>w art. 47 ust. 2 wyrazy „ustawy z dnia 25 lutego 2016 r. o ponownym wykorzystywaniu informacji sektora publicznego (Dz. U. z 2018 r. poz. 1243 i 1669 oraz z 2019 r. poz. 730)” zastępuje się wyrazami „ustawy z dnia … o otwartych danych i ponownym wykorzystywaniu informacji sektora publicznego (Dz. U. poz. …)”;</w:t>
            </w:r>
          </w:p>
          <w:p w14:paraId="651E787C" w14:textId="33EE2659" w:rsidR="00501053" w:rsidRPr="00501053" w:rsidRDefault="00501053" w:rsidP="00501053">
            <w:pPr>
              <w:pStyle w:val="PKTpunkt"/>
              <w:spacing w:line="240" w:lineRule="auto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ab/>
              <w:t>w art. 48 ust. 3 wyrazy „ustawy z dnia 25 lutego 2016 r. o ponownym wykorzystywaniu informacji sektora publicznego” zastępuje się wyrazami „ustawy z dnia … o otwartych danych i ponownym wykorzystywaniu informacji sektora publicznego”.</w:t>
            </w:r>
          </w:p>
        </w:tc>
        <w:tc>
          <w:tcPr>
            <w:tcW w:w="6291" w:type="dxa"/>
            <w:vMerge/>
          </w:tcPr>
          <w:p w14:paraId="5D011545" w14:textId="77777777" w:rsidR="00501053" w:rsidRDefault="00501053" w:rsidP="00A02B08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96AB8" w:rsidRPr="00A27025" w14:paraId="129C25DC" w14:textId="77777777" w:rsidTr="00396972">
        <w:trPr>
          <w:trHeight w:val="2540"/>
        </w:trPr>
        <w:tc>
          <w:tcPr>
            <w:tcW w:w="1413" w:type="dxa"/>
          </w:tcPr>
          <w:p w14:paraId="7E67B1CD" w14:textId="71ED23A7" w:rsidR="00096AB8" w:rsidRPr="00501053" w:rsidRDefault="00096AB8" w:rsidP="00501053">
            <w:pPr>
              <w:rPr>
                <w:rFonts w:ascii="Times New Roman" w:hAnsi="Times New Roman" w:cs="Times New Roman"/>
                <w:lang w:val="en-GB"/>
              </w:rPr>
            </w:pPr>
            <w:r w:rsidRPr="00501053">
              <w:rPr>
                <w:rFonts w:ascii="Times New Roman" w:hAnsi="Times New Roman" w:cs="Times New Roman"/>
                <w:lang w:val="en-GB"/>
              </w:rPr>
              <w:t>Art. 60</w:t>
            </w:r>
            <w:r>
              <w:rPr>
                <w:rFonts w:ascii="Times New Roman" w:hAnsi="Times New Roman" w:cs="Times New Roman"/>
                <w:lang w:val="en-GB"/>
              </w:rPr>
              <w:t xml:space="preserve"> ust. 1</w:t>
            </w:r>
          </w:p>
          <w:p w14:paraId="3116A03B" w14:textId="77777777" w:rsidR="00096AB8" w:rsidRPr="00501053" w:rsidRDefault="00096AB8" w:rsidP="00AB2BE9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  <w:p w14:paraId="4C0DCD9A" w14:textId="77777777" w:rsidR="00096AB8" w:rsidRPr="00501053" w:rsidRDefault="00096AB8" w:rsidP="00AB2BE9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  <w:p w14:paraId="48956270" w14:textId="77777777" w:rsidR="00096AB8" w:rsidRPr="00501053" w:rsidRDefault="00096AB8" w:rsidP="00AB2BE9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  <w:p w14:paraId="55A6D8EA" w14:textId="77777777" w:rsidR="00096AB8" w:rsidRPr="00501053" w:rsidRDefault="00096AB8" w:rsidP="00AB2BE9">
            <w:pPr>
              <w:rPr>
                <w:rFonts w:ascii="Times New Roman" w:hAnsi="Times New Roman" w:cs="Times New Roman"/>
                <w:lang w:val="en-GB"/>
              </w:rPr>
            </w:pPr>
          </w:p>
          <w:p w14:paraId="7CDC755A" w14:textId="77777777" w:rsidR="00096AB8" w:rsidRPr="00501053" w:rsidRDefault="00096AB8" w:rsidP="00AB2BE9">
            <w:pPr>
              <w:rPr>
                <w:rFonts w:ascii="Times New Roman" w:hAnsi="Times New Roman" w:cs="Times New Roman"/>
                <w:lang w:val="en-GB"/>
              </w:rPr>
            </w:pPr>
          </w:p>
          <w:p w14:paraId="308EF090" w14:textId="77777777" w:rsidR="00096AB8" w:rsidRPr="00501053" w:rsidRDefault="00096AB8" w:rsidP="00AB2BE9">
            <w:pPr>
              <w:rPr>
                <w:rFonts w:ascii="Times New Roman" w:hAnsi="Times New Roman" w:cs="Times New Roman"/>
                <w:lang w:val="en-GB"/>
              </w:rPr>
            </w:pPr>
          </w:p>
          <w:p w14:paraId="76AF8952" w14:textId="77777777" w:rsidR="00096AB8" w:rsidRPr="00501053" w:rsidRDefault="00096AB8" w:rsidP="00AB2BE9">
            <w:pPr>
              <w:rPr>
                <w:rFonts w:ascii="Times New Roman" w:hAnsi="Times New Roman" w:cs="Times New Roman"/>
                <w:lang w:val="en-GB"/>
              </w:rPr>
            </w:pPr>
          </w:p>
          <w:p w14:paraId="3F5606FA" w14:textId="6C6B2594" w:rsidR="00096AB8" w:rsidRPr="00501053" w:rsidRDefault="00096AB8" w:rsidP="00501053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6290" w:type="dxa"/>
            <w:gridSpan w:val="2"/>
          </w:tcPr>
          <w:p w14:paraId="2436DDF4" w14:textId="77777777" w:rsidR="00096AB8" w:rsidRPr="00501053" w:rsidRDefault="00096AB8" w:rsidP="003967BA">
            <w:pPr>
              <w:pStyle w:val="ARTartustawynprozporzdzenia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967BA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60.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 1. Do spraw z zakresu przekazywania informacji sektora publicznego w celu ponownego wykorzystywania, wszczętych przed dniem wejścia w życie niniejszej ustawy, stosuje się przepisy dotychczasowe.</w:t>
            </w:r>
          </w:p>
          <w:p w14:paraId="78C4972C" w14:textId="77777777" w:rsidR="00096AB8" w:rsidRPr="00501053" w:rsidRDefault="00096AB8" w:rsidP="00501053">
            <w:pPr>
              <w:pStyle w:val="ARTartustawynprozporzdzenia"/>
              <w:spacing w:before="0" w:line="240" w:lineRule="auto"/>
              <w:jc w:val="left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</w:p>
          <w:p w14:paraId="19DC4526" w14:textId="77777777" w:rsidR="00096AB8" w:rsidRPr="00501053" w:rsidRDefault="00096AB8" w:rsidP="00501053">
            <w:pPr>
              <w:pStyle w:val="ARTartustawynprozporzdzenia"/>
              <w:spacing w:before="0" w:line="240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291" w:type="dxa"/>
            <w:vMerge w:val="restart"/>
          </w:tcPr>
          <w:p w14:paraId="4F433F16" w14:textId="42BC5468" w:rsidR="00096AB8" w:rsidRDefault="00096AB8" w:rsidP="003967BA">
            <w:pPr>
              <w:jc w:val="both"/>
              <w:rPr>
                <w:rFonts w:ascii="Times New Roman" w:hAnsi="Times New Roman" w:cs="Times New Roman"/>
              </w:rPr>
            </w:pPr>
            <w:r w:rsidRPr="007408BC">
              <w:rPr>
                <w:rFonts w:ascii="Times New Roman" w:hAnsi="Times New Roman" w:cs="Times New Roman"/>
              </w:rPr>
              <w:t xml:space="preserve">Art. </w:t>
            </w:r>
            <w:r>
              <w:rPr>
                <w:rFonts w:ascii="Times New Roman" w:hAnsi="Times New Roman" w:cs="Times New Roman"/>
              </w:rPr>
              <w:t>60</w:t>
            </w:r>
            <w:r w:rsidRPr="007408B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64</w:t>
            </w:r>
            <w:r w:rsidRPr="007408BC">
              <w:rPr>
                <w:rFonts w:ascii="Times New Roman" w:hAnsi="Times New Roman" w:cs="Times New Roman"/>
              </w:rPr>
              <w:t xml:space="preserve"> projektu ustawy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7BA">
              <w:rPr>
                <w:rFonts w:ascii="Times New Roman" w:hAnsi="Times New Roman" w:cs="Times New Roman"/>
              </w:rPr>
              <w:t>zebrane zostały w rozdziale 1</w:t>
            </w:r>
            <w:r>
              <w:rPr>
                <w:rFonts w:ascii="Times New Roman" w:hAnsi="Times New Roman" w:cs="Times New Roman"/>
              </w:rPr>
              <w:t>1</w:t>
            </w:r>
            <w:r w:rsidRPr="003967B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„</w:t>
            </w:r>
            <w:r w:rsidRPr="003967BA">
              <w:rPr>
                <w:rFonts w:ascii="Times New Roman" w:hAnsi="Times New Roman" w:cs="Times New Roman"/>
              </w:rPr>
              <w:t>Przepisy przejściowe, dostosowujące i przepisy końcowe</w:t>
            </w:r>
            <w:r>
              <w:rPr>
                <w:rFonts w:ascii="Times New Roman" w:hAnsi="Times New Roman" w:cs="Times New Roman"/>
              </w:rPr>
              <w:t>”.</w:t>
            </w:r>
          </w:p>
          <w:p w14:paraId="4E6B8C29" w14:textId="77777777" w:rsidR="00096AB8" w:rsidRDefault="00096AB8" w:rsidP="003967BA">
            <w:pPr>
              <w:jc w:val="both"/>
              <w:rPr>
                <w:rFonts w:ascii="Times New Roman" w:hAnsi="Times New Roman" w:cs="Times New Roman"/>
              </w:rPr>
            </w:pPr>
          </w:p>
          <w:p w14:paraId="6245450B" w14:textId="77777777" w:rsidR="00096AB8" w:rsidRPr="00B71C2B" w:rsidRDefault="00096AB8" w:rsidP="00B71C2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1C2B">
              <w:rPr>
                <w:rFonts w:ascii="Times New Roman" w:eastAsia="Calibri" w:hAnsi="Times New Roman" w:cs="Times New Roman"/>
              </w:rPr>
              <w:t>Przepis art. 60 ust. 1 projektu ustawy przewiduje stosowanie przepisów dotychczasowych do spraw z zakresu udostępniania informacji sektora publicznego w celu ponownego wykorzystywania, wszczętych i niezakończonych w dniu wejścia w życie ustawy ostatecznym albo prawomocnym rozstrzygnięciem.</w:t>
            </w:r>
          </w:p>
          <w:p w14:paraId="7D3F0521" w14:textId="63DD0F5F" w:rsidR="00096AB8" w:rsidRPr="00B71C2B" w:rsidRDefault="00096AB8" w:rsidP="009A1828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</w:t>
            </w:r>
            <w:r w:rsidRPr="00B71C2B">
              <w:rPr>
                <w:rFonts w:ascii="Times New Roman" w:eastAsia="Calibri" w:hAnsi="Times New Roman" w:cs="Times New Roman"/>
              </w:rPr>
              <w:t xml:space="preserve">rt. 62 </w:t>
            </w:r>
            <w:r>
              <w:rPr>
                <w:rFonts w:ascii="Times New Roman" w:eastAsia="Calibri" w:hAnsi="Times New Roman" w:cs="Times New Roman"/>
              </w:rPr>
              <w:t xml:space="preserve">projektu reguluje kwestie dotyczące aktów wykonawczych, Programu otwierania danych oraz portalu danych. </w:t>
            </w:r>
          </w:p>
          <w:p w14:paraId="32556F50" w14:textId="23FEDBC3" w:rsidR="00096AB8" w:rsidRPr="007408BC" w:rsidRDefault="00096AB8" w:rsidP="009A18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67BA" w:rsidRPr="00A27025" w14:paraId="1B5D01CE" w14:textId="77777777" w:rsidTr="00616E86">
        <w:tc>
          <w:tcPr>
            <w:tcW w:w="1413" w:type="dxa"/>
          </w:tcPr>
          <w:p w14:paraId="698023F8" w14:textId="77777777" w:rsidR="003967BA" w:rsidRPr="00501053" w:rsidRDefault="003967BA" w:rsidP="00501053">
            <w:pPr>
              <w:rPr>
                <w:rFonts w:ascii="Times New Roman" w:hAnsi="Times New Roman" w:cs="Times New Roman"/>
                <w:lang w:val="en-GB"/>
              </w:rPr>
            </w:pPr>
            <w:r w:rsidRPr="00501053">
              <w:rPr>
                <w:rFonts w:ascii="Times New Roman" w:hAnsi="Times New Roman" w:cs="Times New Roman"/>
                <w:lang w:val="en-GB"/>
              </w:rPr>
              <w:lastRenderedPageBreak/>
              <w:t>Art. 62</w:t>
            </w:r>
          </w:p>
          <w:p w14:paraId="7F31A324" w14:textId="77777777" w:rsidR="003967BA" w:rsidRPr="00501053" w:rsidRDefault="003967BA" w:rsidP="00501053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6290" w:type="dxa"/>
            <w:gridSpan w:val="2"/>
          </w:tcPr>
          <w:p w14:paraId="1B3B0589" w14:textId="77777777" w:rsidR="003967BA" w:rsidRPr="00501053" w:rsidRDefault="003967BA" w:rsidP="003967BA">
            <w:pPr>
              <w:pStyle w:val="ARTartustawynprozporzdzenia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967BA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62.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 1. Dotychczasowe przepisy wykonawcze wydane na podstawie art. 9b ust. 6 ustawy, o której mowa w art. 53 oraz na podstawie art. 18 ust. 3 ustawy, o której mowa w art. 63, zachowują moc do dnia wejścia w życie przepisów wykonawczych wydanych odpowiednio na podstawie art. 37 ust. 6 oraz art. 19 ust. 3 niniejszej ustawy, jednak nie dłużej niż przez okres 12 miesięcy od dnia wejścia w życie niniejszej ustawy.</w:t>
            </w:r>
          </w:p>
          <w:p w14:paraId="425021C0" w14:textId="77777777" w:rsidR="003967BA" w:rsidRPr="00501053" w:rsidRDefault="003967BA" w:rsidP="003967BA">
            <w:pPr>
              <w:pStyle w:val="ARTartustawynprozporzdzenia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 xml:space="preserve">2. Dotychczasowa przepisy wykonawcze wydane na podstawie art. 80cf oraz 100am ustawy, o której mowa w art. 51 zachowują moc. </w:t>
            </w:r>
          </w:p>
          <w:p w14:paraId="172B9972" w14:textId="77777777" w:rsidR="003967BA" w:rsidRPr="00501053" w:rsidRDefault="003967BA" w:rsidP="00501053">
            <w:pPr>
              <w:pStyle w:val="USTustnpkodeksu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ab/>
              <w:t>Program otwierania danych przyjęty w drodze uchwały Rady Ministrów na podstawie art. 9e ustawy, o której mowa w art. 53, staje się z dniem wejścia w życie niniejszej ustawy Programem, o którym mowa w art. 31 ust. 1 niniejszej ustawy.</w:t>
            </w:r>
          </w:p>
          <w:p w14:paraId="2E4CA858" w14:textId="7E79CFD5" w:rsidR="003967BA" w:rsidRPr="003967BA" w:rsidRDefault="003967BA" w:rsidP="003967BA">
            <w:pPr>
              <w:pStyle w:val="USTustnpkodeksu"/>
              <w:spacing w:line="240" w:lineRule="auto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Centralne repozytorium prowadzone przez ministra właściwego do spraw informatyzacji na podstawie art. 9b ustawy, o której mowa w art. 53, staje się z dniem wejścia w życie niniejszej ustawy portalem danych, o którym mowa w art. 2 pkt 13 niniejszej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ustawy.</w:t>
            </w:r>
          </w:p>
        </w:tc>
        <w:tc>
          <w:tcPr>
            <w:tcW w:w="6291" w:type="dxa"/>
            <w:vMerge/>
          </w:tcPr>
          <w:p w14:paraId="4DE31302" w14:textId="77777777" w:rsidR="003967BA" w:rsidRPr="007408BC" w:rsidRDefault="003967BA" w:rsidP="007408BC">
            <w:pPr>
              <w:rPr>
                <w:rFonts w:ascii="Times New Roman" w:hAnsi="Times New Roman" w:cs="Times New Roman"/>
              </w:rPr>
            </w:pPr>
          </w:p>
        </w:tc>
      </w:tr>
      <w:tr w:rsidR="003967BA" w:rsidRPr="00A27025" w14:paraId="48A4FC5F" w14:textId="77777777" w:rsidTr="00616E86">
        <w:tc>
          <w:tcPr>
            <w:tcW w:w="1413" w:type="dxa"/>
          </w:tcPr>
          <w:p w14:paraId="67814DE8" w14:textId="77777777" w:rsidR="003967BA" w:rsidRPr="00501053" w:rsidRDefault="003967BA" w:rsidP="00501053">
            <w:pPr>
              <w:rPr>
                <w:rFonts w:ascii="Times New Roman" w:hAnsi="Times New Roman" w:cs="Times New Roman"/>
                <w:lang w:val="en-GB"/>
              </w:rPr>
            </w:pPr>
            <w:r w:rsidRPr="00501053">
              <w:rPr>
                <w:rFonts w:ascii="Times New Roman" w:hAnsi="Times New Roman" w:cs="Times New Roman"/>
                <w:lang w:val="en-GB"/>
              </w:rPr>
              <w:lastRenderedPageBreak/>
              <w:t>Art. 63</w:t>
            </w:r>
          </w:p>
          <w:p w14:paraId="69BDA424" w14:textId="77777777" w:rsidR="003967BA" w:rsidRPr="00501053" w:rsidRDefault="003967BA" w:rsidP="00501053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6290" w:type="dxa"/>
            <w:gridSpan w:val="2"/>
          </w:tcPr>
          <w:p w14:paraId="2B4EF7EF" w14:textId="4468D9D2" w:rsidR="003967BA" w:rsidRPr="003967BA" w:rsidRDefault="003967BA" w:rsidP="003967BA">
            <w:pPr>
              <w:pStyle w:val="ARTartustawynprozporzdzenia"/>
              <w:spacing w:before="0" w:line="240" w:lineRule="auto"/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967BA">
              <w:rPr>
                <w:rStyle w:val="Ppogrubienie"/>
                <w:rFonts w:ascii="Times New Roman" w:hAnsi="Times New Roman" w:cs="Times New Roman"/>
                <w:b w:val="0"/>
                <w:sz w:val="22"/>
                <w:szCs w:val="22"/>
              </w:rPr>
              <w:t>Art. 63.</w:t>
            </w:r>
            <w:r w:rsidRPr="00501053">
              <w:rPr>
                <w:rFonts w:ascii="Times New Roman" w:hAnsi="Times New Roman" w:cs="Times New Roman"/>
                <w:sz w:val="22"/>
                <w:szCs w:val="22"/>
              </w:rPr>
              <w:t xml:space="preserve"> Traci moc ustawa z dnia 25 lutego 2016 r. o ponownym wykorzystywaniu informacji sektora publicznego (Dz. U. z 2019 r. poz. 1446).</w:t>
            </w:r>
          </w:p>
        </w:tc>
        <w:tc>
          <w:tcPr>
            <w:tcW w:w="6291" w:type="dxa"/>
            <w:vMerge/>
          </w:tcPr>
          <w:p w14:paraId="0F8A5329" w14:textId="77777777" w:rsidR="003967BA" w:rsidRPr="007408BC" w:rsidRDefault="003967BA" w:rsidP="007408BC">
            <w:pPr>
              <w:rPr>
                <w:rFonts w:ascii="Times New Roman" w:hAnsi="Times New Roman" w:cs="Times New Roman"/>
              </w:rPr>
            </w:pPr>
          </w:p>
        </w:tc>
      </w:tr>
      <w:tr w:rsidR="003967BA" w:rsidRPr="00A27025" w14:paraId="6CF543A4" w14:textId="77777777" w:rsidTr="00616E86">
        <w:tc>
          <w:tcPr>
            <w:tcW w:w="1413" w:type="dxa"/>
          </w:tcPr>
          <w:p w14:paraId="45247297" w14:textId="77777777" w:rsidR="003967BA" w:rsidRPr="00501053" w:rsidRDefault="003967BA" w:rsidP="00501053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501053">
              <w:rPr>
                <w:rFonts w:ascii="Times New Roman" w:hAnsi="Times New Roman" w:cs="Times New Roman"/>
                <w:lang w:val="en-GB"/>
              </w:rPr>
              <w:t>Art. 64</w:t>
            </w:r>
          </w:p>
          <w:p w14:paraId="4C093D5E" w14:textId="77777777" w:rsidR="003967BA" w:rsidRPr="00501053" w:rsidRDefault="003967BA" w:rsidP="00501053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6290" w:type="dxa"/>
            <w:gridSpan w:val="2"/>
          </w:tcPr>
          <w:p w14:paraId="19841997" w14:textId="73EFC916" w:rsidR="003967BA" w:rsidRPr="003967BA" w:rsidRDefault="003967BA" w:rsidP="003967BA">
            <w:pPr>
              <w:suppressAutoHyphens/>
              <w:autoSpaceDE w:val="0"/>
              <w:autoSpaceDN w:val="0"/>
              <w:adjustRightInd w:val="0"/>
              <w:ind w:firstLine="510"/>
              <w:jc w:val="both"/>
              <w:rPr>
                <w:rStyle w:val="Ppogrubienie"/>
                <w:rFonts w:ascii="Times New Roman" w:eastAsia="Times New Roman" w:hAnsi="Times New Roman" w:cs="Times New Roman"/>
                <w:b w:val="0"/>
                <w:lang w:eastAsia="pl-PL"/>
              </w:rPr>
            </w:pPr>
            <w:r w:rsidRPr="003967BA">
              <w:rPr>
                <w:rFonts w:ascii="Times New Roman" w:eastAsia="Times New Roman" w:hAnsi="Times New Roman" w:cs="Times New Roman"/>
                <w:lang w:eastAsia="pl-PL"/>
              </w:rPr>
              <w:t>Art. 64.</w:t>
            </w:r>
            <w:r w:rsidRPr="00501053">
              <w:rPr>
                <w:rFonts w:ascii="Times New Roman" w:eastAsia="Times New Roman" w:hAnsi="Times New Roman" w:cs="Times New Roman"/>
                <w:lang w:eastAsia="pl-PL"/>
              </w:rPr>
              <w:t> Ustawa wchodzi w życie po upływie 3 miesięcy od dnia ogłoszenia z wyjątkiem art. 24, któ</w:t>
            </w:r>
            <w:r w:rsidR="006600F6">
              <w:rPr>
                <w:rFonts w:ascii="Times New Roman" w:eastAsia="Times New Roman" w:hAnsi="Times New Roman" w:cs="Times New Roman"/>
                <w:lang w:eastAsia="pl-PL"/>
              </w:rPr>
              <w:t>ry wchodzi w życie po upływie 6 </w:t>
            </w:r>
            <w:r w:rsidRPr="00501053">
              <w:rPr>
                <w:rFonts w:ascii="Times New Roman" w:eastAsia="Times New Roman" w:hAnsi="Times New Roman" w:cs="Times New Roman"/>
                <w:lang w:eastAsia="pl-PL"/>
              </w:rPr>
              <w:t xml:space="preserve">miesięcy od dnia ogłoszenia niniejszej ustawy. </w:t>
            </w:r>
          </w:p>
        </w:tc>
        <w:tc>
          <w:tcPr>
            <w:tcW w:w="6291" w:type="dxa"/>
            <w:vMerge/>
          </w:tcPr>
          <w:p w14:paraId="7BD6728B" w14:textId="77777777" w:rsidR="003967BA" w:rsidRPr="007408BC" w:rsidRDefault="003967BA" w:rsidP="007408BC">
            <w:pPr>
              <w:rPr>
                <w:rFonts w:ascii="Times New Roman" w:hAnsi="Times New Roman" w:cs="Times New Roman"/>
              </w:rPr>
            </w:pPr>
          </w:p>
        </w:tc>
      </w:tr>
    </w:tbl>
    <w:p w14:paraId="0B651B94" w14:textId="0CDEE280" w:rsidR="00F43096" w:rsidRPr="00A27025" w:rsidRDefault="00F43096" w:rsidP="00F43096">
      <w:pPr>
        <w:rPr>
          <w:rFonts w:ascii="Times New Roman" w:hAnsi="Times New Roman" w:cs="Times New Roman"/>
          <w:b/>
        </w:rPr>
      </w:pPr>
    </w:p>
    <w:sectPr w:rsidR="00F43096" w:rsidRPr="00A27025" w:rsidSect="00F4309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02C12" w14:textId="77777777" w:rsidR="00DE431E" w:rsidRDefault="00DE431E" w:rsidP="00A27025">
      <w:pPr>
        <w:spacing w:after="0" w:line="240" w:lineRule="auto"/>
      </w:pPr>
      <w:r>
        <w:separator/>
      </w:r>
    </w:p>
  </w:endnote>
  <w:endnote w:type="continuationSeparator" w:id="0">
    <w:p w14:paraId="0D8B7C56" w14:textId="77777777" w:rsidR="00DE431E" w:rsidRDefault="00DE431E" w:rsidP="00A27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7666772"/>
      <w:docPartObj>
        <w:docPartGallery w:val="Page Numbers (Bottom of Page)"/>
        <w:docPartUnique/>
      </w:docPartObj>
    </w:sdtPr>
    <w:sdtEndPr/>
    <w:sdtContent>
      <w:p w14:paraId="5A9445AA" w14:textId="77777777" w:rsidR="00AB2BE9" w:rsidRDefault="00AB2B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B4E">
          <w:rPr>
            <w:noProof/>
          </w:rPr>
          <w:t>1</w:t>
        </w:r>
        <w:r>
          <w:fldChar w:fldCharType="end"/>
        </w:r>
      </w:p>
    </w:sdtContent>
  </w:sdt>
  <w:p w14:paraId="0541601B" w14:textId="77777777" w:rsidR="00AB2BE9" w:rsidRDefault="00AB2B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06B327" w14:textId="77777777" w:rsidR="00DE431E" w:rsidRDefault="00DE431E" w:rsidP="00A27025">
      <w:pPr>
        <w:spacing w:after="0" w:line="240" w:lineRule="auto"/>
      </w:pPr>
      <w:r>
        <w:separator/>
      </w:r>
    </w:p>
  </w:footnote>
  <w:footnote w:type="continuationSeparator" w:id="0">
    <w:p w14:paraId="4771A427" w14:textId="77777777" w:rsidR="00DE431E" w:rsidRDefault="00DE431E" w:rsidP="00A27025">
      <w:pPr>
        <w:spacing w:after="0" w:line="240" w:lineRule="auto"/>
      </w:pPr>
      <w:r>
        <w:continuationSeparator/>
      </w:r>
    </w:p>
  </w:footnote>
  <w:footnote w:id="1">
    <w:p w14:paraId="5743EE6C" w14:textId="6AD2E752" w:rsidR="00AB2BE9" w:rsidRPr="003A66ED" w:rsidRDefault="00AB2BE9" w:rsidP="00A27025">
      <w:pPr>
        <w:pStyle w:val="ODNONIKtreodnonika"/>
        <w:ind w:left="142" w:hanging="142"/>
      </w:pPr>
      <w:r>
        <w:rPr>
          <w:rStyle w:val="Odwoanieprzypisudolnego"/>
        </w:rPr>
        <w:t>1)</w:t>
      </w:r>
      <w:r>
        <w:t xml:space="preserve"> </w:t>
      </w:r>
      <w:r w:rsidRPr="003A66ED">
        <w:t xml:space="preserve">Niniejsza ustawa dokonuje w zakresie swojej regulacji wdrożenia postanowień dyrektywy 2019/1024 </w:t>
      </w:r>
      <w:r>
        <w:t>Parlamentu Europejskiego i Rady</w:t>
      </w:r>
      <w:r w:rsidRPr="003A66ED">
        <w:t xml:space="preserve"> </w:t>
      </w:r>
      <w:r w:rsidR="004B4F59">
        <w:t>(UE) z dnia 20 czerwca 2019 r. w </w:t>
      </w:r>
      <w:r w:rsidRPr="003A66ED">
        <w:t xml:space="preserve">sprawie otwartych danych i ponownego wykorzystywania informacji sektora publicznego </w:t>
      </w:r>
      <w:r>
        <w:t>(Dz. Urz. UE L 1</w:t>
      </w:r>
      <w:r w:rsidR="004B4F59">
        <w:t>72 z 26.06.2019</w:t>
      </w:r>
      <w:r>
        <w:t>, str. 56</w:t>
      </w:r>
      <w:r w:rsidRPr="003A66ED">
        <w:t>)</w:t>
      </w:r>
      <w:r>
        <w:t>.</w:t>
      </w:r>
    </w:p>
    <w:p w14:paraId="641E8477" w14:textId="77777777" w:rsidR="00AB2BE9" w:rsidRDefault="00AB2BE9" w:rsidP="00A27025">
      <w:pPr>
        <w:pStyle w:val="Tekstprzypisudolnego"/>
      </w:pPr>
    </w:p>
  </w:footnote>
  <w:footnote w:id="2">
    <w:p w14:paraId="17A2A675" w14:textId="77777777" w:rsidR="00C7003E" w:rsidRDefault="00C7003E" w:rsidP="00C7003E">
      <w:pPr>
        <w:pStyle w:val="ODNONIKtreodnonika"/>
      </w:pPr>
      <w:r w:rsidRPr="009861F0">
        <w:rPr>
          <w:rStyle w:val="IGindeksgrny"/>
        </w:rPr>
        <w:footnoteRef/>
      </w:r>
      <w:r w:rsidRPr="009861F0">
        <w:rPr>
          <w:rStyle w:val="IGindeksgrny"/>
        </w:rPr>
        <w:t>)</w:t>
      </w:r>
      <w:r w:rsidRPr="001A2424">
        <w:t xml:space="preserve"> </w:t>
      </w:r>
      <w:r>
        <w:tab/>
      </w:r>
      <w:r w:rsidRPr="001A2424">
        <w:t>Zmiana wymienionego rozporządzenia została ogłoszona w Dz. Urz. UE L 127 z 23.05.2018, str. 2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B64BE"/>
    <w:multiLevelType w:val="hybridMultilevel"/>
    <w:tmpl w:val="ADCE4D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1E80FF0"/>
    <w:multiLevelType w:val="hybridMultilevel"/>
    <w:tmpl w:val="1CA40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93467B"/>
    <w:multiLevelType w:val="hybridMultilevel"/>
    <w:tmpl w:val="49500B5C"/>
    <w:lvl w:ilvl="0" w:tplc="7326F0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64A"/>
    <w:rsid w:val="00020E22"/>
    <w:rsid w:val="00096AB8"/>
    <w:rsid w:val="000E7F65"/>
    <w:rsid w:val="00105765"/>
    <w:rsid w:val="00142A1A"/>
    <w:rsid w:val="0020590B"/>
    <w:rsid w:val="002A7BB5"/>
    <w:rsid w:val="00320B4E"/>
    <w:rsid w:val="003416AD"/>
    <w:rsid w:val="00345D79"/>
    <w:rsid w:val="003967BA"/>
    <w:rsid w:val="003C2E6E"/>
    <w:rsid w:val="003C3682"/>
    <w:rsid w:val="003D0D40"/>
    <w:rsid w:val="00465E3B"/>
    <w:rsid w:val="00477F0B"/>
    <w:rsid w:val="004B4F59"/>
    <w:rsid w:val="004B6A39"/>
    <w:rsid w:val="004D064A"/>
    <w:rsid w:val="004D25B7"/>
    <w:rsid w:val="004D5785"/>
    <w:rsid w:val="00501053"/>
    <w:rsid w:val="00531681"/>
    <w:rsid w:val="0055455F"/>
    <w:rsid w:val="00566159"/>
    <w:rsid w:val="005E0564"/>
    <w:rsid w:val="00616E86"/>
    <w:rsid w:val="0061790A"/>
    <w:rsid w:val="00633663"/>
    <w:rsid w:val="006600F6"/>
    <w:rsid w:val="0067240F"/>
    <w:rsid w:val="006F20FA"/>
    <w:rsid w:val="007408BC"/>
    <w:rsid w:val="007566CB"/>
    <w:rsid w:val="008851CE"/>
    <w:rsid w:val="008E3035"/>
    <w:rsid w:val="008E6957"/>
    <w:rsid w:val="00954807"/>
    <w:rsid w:val="0097323F"/>
    <w:rsid w:val="009A0997"/>
    <w:rsid w:val="009A1828"/>
    <w:rsid w:val="009F6A9B"/>
    <w:rsid w:val="00A02B08"/>
    <w:rsid w:val="00A06FE4"/>
    <w:rsid w:val="00A232BB"/>
    <w:rsid w:val="00A27025"/>
    <w:rsid w:val="00A75B94"/>
    <w:rsid w:val="00A8051E"/>
    <w:rsid w:val="00A858E9"/>
    <w:rsid w:val="00AA3F1F"/>
    <w:rsid w:val="00AB2BE9"/>
    <w:rsid w:val="00B02E40"/>
    <w:rsid w:val="00B30196"/>
    <w:rsid w:val="00B35497"/>
    <w:rsid w:val="00B71C2B"/>
    <w:rsid w:val="00BB33A1"/>
    <w:rsid w:val="00C64995"/>
    <w:rsid w:val="00C7003E"/>
    <w:rsid w:val="00C92958"/>
    <w:rsid w:val="00CB2467"/>
    <w:rsid w:val="00CC0D8B"/>
    <w:rsid w:val="00CF6C2C"/>
    <w:rsid w:val="00D175B2"/>
    <w:rsid w:val="00D30F80"/>
    <w:rsid w:val="00DD2DFD"/>
    <w:rsid w:val="00DE20B3"/>
    <w:rsid w:val="00DE431E"/>
    <w:rsid w:val="00E55C8B"/>
    <w:rsid w:val="00F25817"/>
    <w:rsid w:val="00F43096"/>
    <w:rsid w:val="00F8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9597D"/>
  <w15:chartTrackingRefBased/>
  <w15:docId w15:val="{33FCD1ED-79E8-45F7-8754-D1A99E61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A270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0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025"/>
    <w:rPr>
      <w:vertAlign w:val="superscript"/>
    </w:rPr>
  </w:style>
  <w:style w:type="paragraph" w:customStyle="1" w:styleId="ODNONIKtreodnonika">
    <w:name w:val="ODNOŚNIK – treść odnośnika"/>
    <w:uiPriority w:val="19"/>
    <w:qFormat/>
    <w:rsid w:val="00A27025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A2702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A27025"/>
    <w:rPr>
      <w:b/>
    </w:rPr>
  </w:style>
  <w:style w:type="paragraph" w:customStyle="1" w:styleId="PKTpunkt">
    <w:name w:val="PKT – punkt"/>
    <w:uiPriority w:val="13"/>
    <w:qFormat/>
    <w:rsid w:val="00A27025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175B2"/>
    <w:pPr>
      <w:spacing w:before="0"/>
    </w:pPr>
    <w:rPr>
      <w:bCs/>
    </w:rPr>
  </w:style>
  <w:style w:type="paragraph" w:customStyle="1" w:styleId="LITlitera">
    <w:name w:val="LIT – litera"/>
    <w:basedOn w:val="PKTpunkt"/>
    <w:uiPriority w:val="14"/>
    <w:qFormat/>
    <w:rsid w:val="00D175B2"/>
    <w:pPr>
      <w:ind w:left="986" w:hanging="476"/>
    </w:p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175B2"/>
    <w:pPr>
      <w:ind w:left="0" w:firstLine="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345D79"/>
    <w:pPr>
      <w:spacing w:before="0"/>
      <w:ind w:left="510"/>
    </w:pPr>
  </w:style>
  <w:style w:type="paragraph" w:customStyle="1" w:styleId="ZPKTzmpktartykuempunktem">
    <w:name w:val="Z/PKT – zm. pkt artykułem (punktem)"/>
    <w:basedOn w:val="PKTpunkt"/>
    <w:uiPriority w:val="31"/>
    <w:qFormat/>
    <w:rsid w:val="00345D79"/>
    <w:pPr>
      <w:ind w:left="1020"/>
    </w:p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345D79"/>
  </w:style>
  <w:style w:type="paragraph" w:styleId="Nagwek">
    <w:name w:val="header"/>
    <w:basedOn w:val="Normalny"/>
    <w:link w:val="NagwekZnak"/>
    <w:uiPriority w:val="99"/>
    <w:unhideWhenUsed/>
    <w:rsid w:val="003C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E6E"/>
  </w:style>
  <w:style w:type="paragraph" w:styleId="Stopka">
    <w:name w:val="footer"/>
    <w:basedOn w:val="Normalny"/>
    <w:link w:val="StopkaZnak"/>
    <w:uiPriority w:val="99"/>
    <w:unhideWhenUsed/>
    <w:rsid w:val="003C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E6E"/>
  </w:style>
  <w:style w:type="character" w:styleId="Odwoaniedokomentarza">
    <w:name w:val="annotation reference"/>
    <w:basedOn w:val="Domylnaczcionkaakapitu"/>
    <w:uiPriority w:val="99"/>
    <w:semiHidden/>
    <w:unhideWhenUsed/>
    <w:rsid w:val="005545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45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45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5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5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55F"/>
    <w:rPr>
      <w:rFonts w:ascii="Segoe UI" w:hAnsi="Segoe UI" w:cs="Segoe UI"/>
      <w:sz w:val="18"/>
      <w:szCs w:val="18"/>
    </w:rPr>
  </w:style>
  <w:style w:type="character" w:customStyle="1" w:styleId="IGindeksgrny">
    <w:name w:val="_IG_ – indeks górny"/>
    <w:basedOn w:val="Domylnaczcionkaakapitu"/>
    <w:uiPriority w:val="2"/>
    <w:qFormat/>
    <w:rsid w:val="00C7003E"/>
    <w:rPr>
      <w:b w:val="0"/>
      <w:i w:val="0"/>
      <w:vanish w:val="0"/>
      <w:spacing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3947</Words>
  <Characters>23685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27577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Garstka Mikołaj</dc:creator>
  <cp:keywords/>
  <dc:description/>
  <cp:lastModifiedBy>Gapska-Szczygieł Małgorzata</cp:lastModifiedBy>
  <cp:revision>2</cp:revision>
  <dcterms:created xsi:type="dcterms:W3CDTF">2021-01-11T09:37:00Z</dcterms:created>
  <dcterms:modified xsi:type="dcterms:W3CDTF">2021-01-11T09:37:00Z</dcterms:modified>
</cp:coreProperties>
</file>